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57" w:after="57"/>
        <w:ind w:hanging="0" w:left="0" w:right="0"/>
        <w:jc w:val="center"/>
        <w:rPr/>
      </w:pPr>
      <w:r>
        <w:rPr>
          <w:rFonts w:cs="Arial" w:ascii="Verdana" w:hAnsi="Verdana"/>
          <w:b/>
          <w:bCs/>
          <w:iCs/>
          <w:sz w:val="20"/>
        </w:rPr>
        <w:t>ANEXO II</w:t>
      </w:r>
    </w:p>
    <w:p>
      <w:pPr>
        <w:pStyle w:val="Normal"/>
        <w:spacing w:lineRule="auto" w:line="276" w:before="57" w:after="57"/>
        <w:ind w:hanging="0" w:left="0" w:right="0"/>
        <w:jc w:val="center"/>
        <w:rPr/>
      </w:pPr>
      <w:r>
        <w:rPr>
          <w:rFonts w:cs="Arial" w:ascii="Verdana" w:hAnsi="Verdana"/>
          <w:b/>
          <w:bCs/>
          <w:iCs/>
          <w:sz w:val="20"/>
        </w:rPr>
        <w:t>TERMO DE REFER</w:t>
      </w:r>
      <w:r>
        <w:rPr>
          <w:rFonts w:cs="Arial" w:ascii="Verdana" w:hAnsi="Verdana"/>
          <w:b/>
          <w:bCs/>
          <w:sz w:val="20"/>
        </w:rPr>
        <w:t>ÊNCIA</w:t>
      </w:r>
    </w:p>
    <w:p>
      <w:pPr>
        <w:pStyle w:val="Normal"/>
        <w:spacing w:lineRule="auto" w:line="276" w:before="57" w:after="57"/>
        <w:ind w:hanging="0" w:left="0" w:right="0"/>
        <w:jc w:val="center"/>
        <w:rPr>
          <w:rFonts w:ascii="Verdana" w:hAnsi="Verdana" w:cs="Arial"/>
          <w:b/>
          <w:sz w:val="20"/>
          <w:u w:val="single"/>
        </w:rPr>
      </w:pPr>
      <w:r>
        <w:rPr>
          <w:rFonts w:cs="Arial" w:ascii="Verdana" w:hAnsi="Verdana"/>
          <w:b/>
          <w:sz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jc w:val="center"/>
        <w:rPr/>
      </w:pPr>
      <w:r>
        <w:rPr>
          <w:rFonts w:cs="Arial" w:ascii="Verdana" w:hAnsi="Verdana"/>
          <w:b/>
          <w:bCs/>
          <w:iCs/>
          <w:color w:val="000000"/>
          <w:sz w:val="20"/>
        </w:rPr>
        <w:t>AQUISIÇÃO DE TOLDOS PARA O CADASTRO ÚNICO E SECRETARIA</w:t>
      </w:r>
    </w:p>
    <w:p>
      <w:pPr>
        <w:pStyle w:val="Normal"/>
        <w:spacing w:lineRule="auto" w:line="276" w:before="57" w:after="57"/>
        <w:ind w:hanging="0" w:left="0" w:right="0"/>
        <w:jc w:val="center"/>
        <w:rPr/>
      </w:pPr>
      <w:r>
        <w:rPr>
          <w:rFonts w:ascii="Verdana" w:hAnsi="Verdana"/>
          <w:b/>
          <w:bCs/>
          <w:sz w:val="20"/>
        </w:rPr>
        <w:t>Processo Administrativo nº 006110/2024 de 15 de agosto de 2024 – Secretaria Municipal de Assistência Social</w:t>
      </w:r>
    </w:p>
    <w:p>
      <w:pPr>
        <w:pStyle w:val="Normal"/>
        <w:spacing w:lineRule="auto" w:line="276" w:before="57" w:after="57"/>
        <w:ind w:hanging="0" w:left="0" w:right="0"/>
        <w:jc w:val="center"/>
        <w:rPr>
          <w:rFonts w:ascii="Verdana" w:hAnsi="Verdana"/>
          <w:b/>
          <w:bCs/>
          <w:sz w:val="20"/>
        </w:rPr>
      </w:pPr>
      <w:r>
        <w:rPr>
          <w:rFonts w:ascii="Verdana" w:hAnsi="Verdana"/>
          <w:b/>
          <w:bCs/>
          <w:sz w:val="20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cs="Arial" w:ascii="Verdana" w:hAnsi="Verdana"/>
          <w:b/>
          <w:bCs/>
          <w:sz w:val="20"/>
        </w:rPr>
        <w:t>1. OBJETO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cs="Arial" w:ascii="Verdana" w:hAnsi="Verdana"/>
          <w:sz w:val="20"/>
        </w:rPr>
        <w:t>1.1. Constitui objeto do presente Termo de Referência a aquisição de toldos visando proporcionar mais comodidade aos usuários do Cadastro único e da Sede da Secretaria de Assistência Social, deste município, de acordo com os critérios e condições estabelecidas neste Termo de Referência, ETP e seus Anexos.</w:t>
      </w:r>
    </w:p>
    <w:tbl>
      <w:tblPr>
        <w:tblW w:w="9498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669"/>
        <w:gridCol w:w="3125"/>
        <w:gridCol w:w="1253"/>
        <w:gridCol w:w="1518"/>
        <w:gridCol w:w="1481"/>
        <w:gridCol w:w="1451"/>
      </w:tblGrid>
      <w:tr>
        <w:trPr/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lineRule="auto" w:line="276" w:before="0" w:after="0"/>
              <w:ind w:hanging="0" w:left="0" w:right="0"/>
              <w:jc w:val="center"/>
              <w:rPr/>
            </w:pPr>
            <w:r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lineRule="auto" w:line="276" w:before="0" w:after="0"/>
              <w:ind w:hanging="0" w:left="0" w:right="0"/>
              <w:jc w:val="center"/>
              <w:rPr/>
            </w:pPr>
            <w:r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lineRule="auto" w:line="276" w:before="0" w:after="0"/>
              <w:ind w:hanging="0" w:left="0" w:right="0"/>
              <w:jc w:val="center"/>
              <w:rPr/>
            </w:pPr>
            <w:r>
              <w:rPr>
                <w:rFonts w:ascii="Verdana" w:hAnsi="Verdana"/>
                <w:b/>
                <w:bCs/>
                <w:color w:val="000000"/>
                <w:sz w:val="20"/>
              </w:rPr>
              <w:t>Unidade de medida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lineRule="auto" w:line="276" w:before="0" w:after="0"/>
              <w:ind w:hanging="0" w:left="0" w:right="0"/>
              <w:jc w:val="center"/>
              <w:rPr/>
            </w:pPr>
            <w:r>
              <w:rPr>
                <w:rFonts w:ascii="Verdana" w:hAnsi="Verdana"/>
                <w:b/>
                <w:bCs/>
                <w:color w:val="000000"/>
                <w:sz w:val="20"/>
              </w:rPr>
              <w:t>Quantidade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lineRule="auto" w:line="276" w:before="0" w:after="0"/>
              <w:ind w:hanging="0" w:left="0" w:right="0"/>
              <w:jc w:val="center"/>
              <w:rPr/>
            </w:pPr>
            <w:r>
              <w:rPr>
                <w:rFonts w:ascii="Verdana" w:hAnsi="Verdana"/>
                <w:b/>
                <w:bCs/>
                <w:color w:val="000000"/>
                <w:sz w:val="20"/>
              </w:rPr>
              <w:t>Valor unitário estimado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spacing w:lineRule="auto" w:line="276" w:before="0" w:after="0"/>
              <w:ind w:hanging="0" w:left="0" w:right="0"/>
              <w:jc w:val="center"/>
              <w:rPr/>
            </w:pPr>
            <w:r>
              <w:rPr>
                <w:rFonts w:ascii="Verdana" w:hAnsi="Verdana"/>
                <w:b/>
                <w:bCs/>
                <w:color w:val="000000"/>
                <w:sz w:val="20"/>
              </w:rPr>
              <w:t>Valor total estimado</w:t>
            </w:r>
          </w:p>
        </w:tc>
      </w:tr>
      <w:tr>
        <w:trPr/>
        <w:tc>
          <w:tcPr>
            <w:tcW w:w="6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0" w:after="0"/>
              <w:ind w:hanging="0" w:left="0" w:right="0"/>
              <w:jc w:val="center"/>
              <w:rPr/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001</w:t>
            </w:r>
          </w:p>
        </w:tc>
        <w:tc>
          <w:tcPr>
            <w:tcW w:w="31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76" w:before="0" w:after="0"/>
              <w:ind w:hanging="0" w:left="0" w:right="0"/>
              <w:jc w:val="both"/>
              <w:rPr/>
            </w:pPr>
            <w:r>
              <w:rPr>
                <w:rFonts w:ascii="Verdana" w:hAnsi="Verdana"/>
                <w:sz w:val="20"/>
                <w:szCs w:val="20"/>
              </w:rPr>
              <w:t>Toldo fixo em policarbonato fumê em estrutura em ferro galvanizado e pintura epoxi preta e mão francesa de fixação (com inclusão de buchas e parafusos para instalação no local).</w:t>
            </w:r>
          </w:p>
          <w:p>
            <w:pPr>
              <w:pStyle w:val="TableParagraph"/>
              <w:spacing w:lineRule="auto" w:line="276" w:before="0" w:after="0"/>
              <w:ind w:hanging="0" w:left="0" w:right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  <w:p>
            <w:pPr>
              <w:pStyle w:val="TableParagraph"/>
              <w:spacing w:lineRule="auto" w:line="276" w:before="0" w:after="0"/>
              <w:ind w:hanging="0" w:left="0" w:right="0"/>
              <w:jc w:val="both"/>
              <w:rPr/>
            </w:pPr>
            <w:r>
              <w:rPr>
                <w:rFonts w:ascii="Verdana" w:hAnsi="Verdana"/>
                <w:sz w:val="20"/>
                <w:szCs w:val="20"/>
              </w:rPr>
              <w:t>Medidas:</w:t>
            </w:r>
          </w:p>
          <w:p>
            <w:pPr>
              <w:pStyle w:val="TableParagraph"/>
              <w:spacing w:lineRule="auto" w:line="276" w:before="0" w:after="0"/>
              <w:ind w:hanging="0" w:left="0" w:right="0"/>
              <w:jc w:val="both"/>
              <w:rPr/>
            </w:pPr>
            <w:r>
              <w:rPr>
                <w:rFonts w:ascii="Verdana" w:hAnsi="Verdana"/>
                <w:sz w:val="20"/>
                <w:szCs w:val="20"/>
              </w:rPr>
              <w:t>Comprimento 7 metros</w:t>
            </w:r>
          </w:p>
          <w:p>
            <w:pPr>
              <w:pStyle w:val="TableParagraph"/>
              <w:spacing w:lineRule="auto" w:line="276" w:before="0" w:after="0"/>
              <w:ind w:hanging="0" w:left="0" w:right="0"/>
              <w:jc w:val="both"/>
              <w:rPr/>
            </w:pPr>
            <w:r>
              <w:rPr>
                <w:rFonts w:ascii="Verdana" w:hAnsi="Verdana"/>
                <w:sz w:val="20"/>
                <w:szCs w:val="20"/>
              </w:rPr>
              <w:t>Largura: 0,90 metros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0" w:after="0"/>
              <w:ind w:hanging="0" w:left="0" w:right="0"/>
              <w:jc w:val="center"/>
              <w:rPr/>
            </w:pPr>
            <w:r>
              <w:rPr>
                <w:rFonts w:ascii="Verdana" w:hAnsi="Verdana"/>
                <w:spacing w:val="-5"/>
                <w:sz w:val="20"/>
                <w:szCs w:val="20"/>
              </w:rPr>
              <w:t>UN</w:t>
            </w:r>
          </w:p>
        </w:tc>
        <w:tc>
          <w:tcPr>
            <w:tcW w:w="15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0" w:after="0"/>
              <w:ind w:hanging="0" w:left="0" w:right="0"/>
              <w:jc w:val="center"/>
              <w:rPr/>
            </w:pPr>
            <w:r>
              <w:rPr>
                <w:rFonts w:ascii="Verdana" w:hAnsi="Verdana"/>
                <w:spacing w:val="-10"/>
                <w:sz w:val="20"/>
                <w:szCs w:val="20"/>
              </w:rPr>
              <w:t>01</w:t>
            </w:r>
          </w:p>
        </w:tc>
        <w:tc>
          <w:tcPr>
            <w:tcW w:w="1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lineRule="auto" w:line="276" w:before="0" w:after="0"/>
              <w:ind w:hanging="0" w:left="0" w:right="0"/>
              <w:rPr/>
            </w:pPr>
            <w:r>
              <w:rPr>
                <w:rFonts w:ascii="Verdana" w:hAnsi="Verdana"/>
                <w:sz w:val="20"/>
              </w:rPr>
              <w:t>R$ 2.684,00</w:t>
            </w:r>
          </w:p>
        </w:tc>
        <w:tc>
          <w:tcPr>
            <w:tcW w:w="1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spacing w:lineRule="auto" w:line="276" w:before="0" w:after="0"/>
              <w:ind w:hanging="0" w:left="0" w:right="0"/>
              <w:rPr/>
            </w:pPr>
            <w:r>
              <w:rPr>
                <w:rFonts w:ascii="Verdana" w:hAnsi="Verdana"/>
                <w:sz w:val="20"/>
              </w:rPr>
              <w:t>R$ 2.684,00</w:t>
            </w:r>
          </w:p>
        </w:tc>
      </w:tr>
      <w:tr>
        <w:trPr/>
        <w:tc>
          <w:tcPr>
            <w:tcW w:w="6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0" w:after="0"/>
              <w:ind w:hanging="0" w:left="0" w:right="0"/>
              <w:jc w:val="center"/>
              <w:rPr/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002</w:t>
            </w:r>
          </w:p>
        </w:tc>
        <w:tc>
          <w:tcPr>
            <w:tcW w:w="31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76" w:before="0" w:after="0"/>
              <w:ind w:hanging="0" w:left="0" w:right="0"/>
              <w:jc w:val="both"/>
              <w:rPr/>
            </w:pPr>
            <w:r>
              <w:rPr>
                <w:rFonts w:ascii="Verdana" w:hAnsi="Verdana"/>
                <w:sz w:val="20"/>
                <w:szCs w:val="20"/>
              </w:rPr>
              <w:t>Toldo fixo em policarbonato transparente (incolor) em estrutura em ferro galvanizado e pintura epoxi branca e mão francesa de fixação (com inclusão de buchas e parafusos para instalação no local)</w:t>
            </w:r>
          </w:p>
          <w:p>
            <w:pPr>
              <w:pStyle w:val="TableParagraph"/>
              <w:spacing w:lineRule="auto" w:line="276" w:before="0" w:after="0"/>
              <w:ind w:hanging="0" w:left="0" w:right="0"/>
              <w:jc w:val="both"/>
              <w:rPr/>
            </w:pPr>
            <w:r>
              <w:rPr>
                <w:rFonts w:ascii="Verdana" w:hAnsi="Verdana"/>
                <w:sz w:val="20"/>
                <w:szCs w:val="20"/>
              </w:rPr>
              <w:t>Medidas:</w:t>
            </w:r>
          </w:p>
          <w:p>
            <w:pPr>
              <w:pStyle w:val="TableParagraph"/>
              <w:spacing w:lineRule="auto" w:line="276" w:before="0" w:after="0"/>
              <w:ind w:hanging="0" w:left="0" w:right="0"/>
              <w:jc w:val="both"/>
              <w:rPr/>
            </w:pPr>
            <w:r>
              <w:rPr>
                <w:rFonts w:ascii="Verdana" w:hAnsi="Verdana"/>
                <w:sz w:val="20"/>
                <w:szCs w:val="20"/>
              </w:rPr>
              <w:t>Comprimento 9 metros</w:t>
            </w:r>
          </w:p>
          <w:p>
            <w:pPr>
              <w:pStyle w:val="TableParagraph"/>
              <w:spacing w:lineRule="auto" w:line="276" w:before="0" w:after="0"/>
              <w:ind w:hanging="0" w:left="0" w:right="0"/>
              <w:jc w:val="both"/>
              <w:rPr/>
            </w:pPr>
            <w:r>
              <w:rPr>
                <w:rFonts w:ascii="Verdana" w:hAnsi="Verdana"/>
                <w:spacing w:val="-2"/>
                <w:sz w:val="20"/>
                <w:szCs w:val="20"/>
              </w:rPr>
              <w:t>Largura: 1,2 metros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0" w:after="0"/>
              <w:ind w:hanging="0" w:left="0" w:right="0"/>
              <w:jc w:val="center"/>
              <w:rPr/>
            </w:pPr>
            <w:r>
              <w:rPr>
                <w:rFonts w:ascii="Verdana" w:hAnsi="Verdana"/>
                <w:spacing w:val="-5"/>
                <w:sz w:val="20"/>
                <w:szCs w:val="20"/>
              </w:rPr>
              <w:t>UN</w:t>
            </w:r>
          </w:p>
        </w:tc>
        <w:tc>
          <w:tcPr>
            <w:tcW w:w="15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76" w:before="0" w:after="0"/>
              <w:ind w:hanging="0" w:left="0" w:right="0"/>
              <w:jc w:val="center"/>
              <w:rPr/>
            </w:pPr>
            <w:r>
              <w:rPr>
                <w:rFonts w:ascii="Verdana" w:hAnsi="Verdana"/>
                <w:spacing w:val="-5"/>
                <w:sz w:val="20"/>
                <w:szCs w:val="20"/>
              </w:rPr>
              <w:t>01</w:t>
            </w:r>
          </w:p>
        </w:tc>
        <w:tc>
          <w:tcPr>
            <w:tcW w:w="1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pacing w:lineRule="auto" w:line="276" w:before="0" w:after="0"/>
              <w:ind w:hanging="0" w:left="0" w:right="0"/>
              <w:rPr/>
            </w:pPr>
            <w:r>
              <w:rPr>
                <w:rFonts w:ascii="Verdana" w:hAnsi="Verdana"/>
                <w:sz w:val="20"/>
              </w:rPr>
              <w:t>R$ 2.972,00</w:t>
            </w:r>
          </w:p>
        </w:tc>
        <w:tc>
          <w:tcPr>
            <w:tcW w:w="1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spacing w:lineRule="auto" w:line="276" w:before="0" w:after="0"/>
              <w:ind w:hanging="0" w:left="0" w:right="0"/>
              <w:rPr/>
            </w:pPr>
            <w:r>
              <w:rPr>
                <w:rFonts w:ascii="Verdana" w:hAnsi="Verdana"/>
                <w:sz w:val="20"/>
              </w:rPr>
              <w:t>R$ 2.972,00</w:t>
            </w:r>
          </w:p>
        </w:tc>
      </w:tr>
      <w:tr>
        <w:trPr/>
        <w:tc>
          <w:tcPr>
            <w:tcW w:w="949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spacing w:lineRule="auto" w:line="276" w:before="0" w:after="0"/>
              <w:ind w:hanging="0" w:left="0" w:right="0"/>
              <w:rPr/>
            </w:pPr>
            <w:r>
              <w:rPr>
                <w:rFonts w:ascii="Verdana" w:hAnsi="Verdana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>VALOR ESTIMADO TOTAL: R$ 5.656,00 (cinco mil seiscentos e cinquenta e seis reais)</w:t>
            </w:r>
          </w:p>
        </w:tc>
      </w:tr>
    </w:tbl>
    <w:p>
      <w:pPr>
        <w:pStyle w:val="ListParagraph"/>
        <w:widowControl w:val="false"/>
        <w:suppressAutoHyphens w:val="false"/>
        <w:spacing w:before="57" w:after="57"/>
        <w:ind w:hanging="0" w:left="0" w:right="0"/>
        <w:contextualSpacing w:val="false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ListParagraph"/>
        <w:widowControl w:val="false"/>
        <w:suppressAutoHyphens w:val="false"/>
        <w:spacing w:before="57" w:after="57"/>
        <w:ind w:hanging="0" w:left="0" w:right="0"/>
        <w:contextualSpacing w:val="false"/>
        <w:jc w:val="both"/>
        <w:rPr/>
      </w:pPr>
      <w:r>
        <w:rPr>
          <w:rFonts w:ascii="Verdana" w:hAnsi="Verdana"/>
          <w:iCs/>
          <w:sz w:val="20"/>
          <w:szCs w:val="20"/>
        </w:rPr>
        <w:t>1.2</w:t>
      </w:r>
      <w:r>
        <w:rPr>
          <w:rFonts w:ascii="Verdana" w:hAnsi="Verdana"/>
          <w:b/>
          <w:bCs/>
          <w:iCs/>
          <w:sz w:val="20"/>
          <w:szCs w:val="20"/>
        </w:rPr>
        <w:t>.</w:t>
      </w:r>
      <w:r>
        <w:rPr>
          <w:rFonts w:ascii="Verdana" w:hAnsi="Verdana"/>
          <w:iCs/>
          <w:sz w:val="20"/>
          <w:szCs w:val="20"/>
        </w:rPr>
        <w:t xml:space="preserve"> Os objetos desta aquisição não se enquadram como sendo de bens de luxo, conforme Decreto nº 10.818, de 2021.</w:t>
      </w:r>
    </w:p>
    <w:p>
      <w:pPr>
        <w:pStyle w:val="ListParagraph"/>
        <w:suppressAutoHyphens w:val="false"/>
        <w:spacing w:before="57" w:after="57"/>
        <w:ind w:hanging="0" w:left="0" w:right="0"/>
        <w:contextualSpacing w:val="false"/>
        <w:jc w:val="both"/>
        <w:rPr/>
      </w:pPr>
      <w:r>
        <w:rPr>
          <w:rFonts w:ascii="Verdana" w:hAnsi="Verdana"/>
          <w:iCs/>
          <w:sz w:val="20"/>
          <w:szCs w:val="20"/>
        </w:rPr>
        <w:t xml:space="preserve">1.3. </w:t>
      </w:r>
      <w:r>
        <w:rPr>
          <w:rFonts w:ascii="Verdana" w:hAnsi="Verdana"/>
          <w:sz w:val="20"/>
          <w:szCs w:val="20"/>
        </w:rPr>
        <w:t>O prazo de vigência da aquisição será de 30 (trinta) dais, com entrega/instalação em até 20 (vinte) dias contados da confirmação de recebimento da autorização de fornecimento emitida pelo Departamento de Compras e Contratos.</w:t>
      </w:r>
    </w:p>
    <w:p>
      <w:pPr>
        <w:pStyle w:val="ListParagraph"/>
        <w:suppressAutoHyphens w:val="false"/>
        <w:spacing w:before="57" w:after="57"/>
        <w:ind w:hanging="0" w:left="0" w:right="0"/>
        <w:contextualSpacing w:val="false"/>
        <w:jc w:val="both"/>
        <w:rPr/>
      </w:pPr>
      <w:r>
        <w:rPr>
          <w:rFonts w:eastAsia="SimSun" w:cs="Arial" w:ascii="Verdana" w:hAnsi="Verdana"/>
          <w:sz w:val="20"/>
          <w:szCs w:val="20"/>
        </w:rPr>
        <w:t xml:space="preserve">1.4. O objeto da contratação será composto por </w:t>
      </w:r>
      <w:r>
        <w:rPr>
          <w:rFonts w:eastAsia="Times New Roman" w:cs="Arial" w:ascii="Verdana" w:hAnsi="Verdana"/>
          <w:b/>
          <w:bCs/>
          <w:color w:val="000000"/>
          <w:sz w:val="20"/>
          <w:szCs w:val="20"/>
          <w:lang w:eastAsia="zh-CN"/>
        </w:rPr>
        <w:t>02</w:t>
      </w:r>
      <w:r>
        <w:rPr>
          <w:rFonts w:eastAsia="SimSun" w:cs="Arial" w:ascii="Verdana" w:hAnsi="Verdana"/>
          <w:b/>
          <w:bCs/>
          <w:sz w:val="20"/>
          <w:szCs w:val="20"/>
        </w:rPr>
        <w:t xml:space="preserve"> itens</w:t>
      </w:r>
      <w:r>
        <w:rPr>
          <w:rFonts w:eastAsia="SimSun" w:cs="Arial" w:ascii="Verdana" w:hAnsi="Verdana"/>
          <w:sz w:val="20"/>
          <w:szCs w:val="20"/>
        </w:rPr>
        <w:t>, de preço total estimado orçado pela administração no valor</w:t>
      </w:r>
      <w:r>
        <w:rPr>
          <w:rFonts w:eastAsia="Arial" w:cs="Arial" w:ascii="Verdana" w:hAnsi="Verdana"/>
          <w:b/>
          <w:sz w:val="20"/>
          <w:szCs w:val="20"/>
        </w:rPr>
        <w:t xml:space="preserve"> R$ 5.656,00 (cinco mil seiscentos e cinquenta e seis reais).</w:t>
      </w:r>
      <w:r>
        <w:rPr>
          <w:rFonts w:eastAsia="SimSun" w:cs="Arial" w:ascii="Verdana" w:hAnsi="Verdana"/>
          <w:b/>
          <w:bCs/>
          <w:sz w:val="20"/>
          <w:szCs w:val="20"/>
        </w:rPr>
        <w:t xml:space="preserve"> </w:t>
      </w:r>
      <w:r>
        <w:rPr>
          <w:rFonts w:eastAsia="SimSun" w:cs="Arial" w:ascii="Verdana" w:hAnsi="Verdana"/>
          <w:sz w:val="20"/>
          <w:szCs w:val="20"/>
        </w:rPr>
        <w:t xml:space="preserve">Para fins de classificação, será considerado o </w:t>
      </w:r>
      <w:r>
        <w:rPr>
          <w:rFonts w:eastAsia="SimSun" w:cs="Arial" w:ascii="Verdana" w:hAnsi="Verdana"/>
          <w:b/>
          <w:sz w:val="20"/>
          <w:szCs w:val="20"/>
        </w:rPr>
        <w:t xml:space="preserve">menor preço </w:t>
      </w:r>
      <w:r>
        <w:rPr>
          <w:rFonts w:eastAsia="Times New Roman" w:cs="Arial" w:ascii="Verdana" w:hAnsi="Verdana"/>
          <w:b/>
          <w:color w:val="000000"/>
          <w:sz w:val="20"/>
          <w:szCs w:val="20"/>
          <w:lang w:eastAsia="zh-CN"/>
        </w:rPr>
        <w:t>por item</w:t>
      </w:r>
      <w:r>
        <w:rPr>
          <w:rFonts w:eastAsia="SimSun" w:cs="Arial" w:ascii="Verdana" w:hAnsi="Verdana"/>
          <w:sz w:val="20"/>
          <w:szCs w:val="20"/>
        </w:rPr>
        <w:t>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>
      <w:pPr>
        <w:pStyle w:val="ListParagraph"/>
        <w:suppressAutoHyphens w:val="false"/>
        <w:spacing w:before="57" w:after="57"/>
        <w:ind w:hanging="0" w:left="0" w:right="0"/>
        <w:contextualSpacing w:val="false"/>
        <w:jc w:val="both"/>
        <w:rPr>
          <w:rFonts w:ascii="Verdana" w:hAnsi="Verdana" w:eastAsia="SimSun" w:cs="Arial"/>
          <w:sz w:val="20"/>
          <w:szCs w:val="20"/>
        </w:rPr>
      </w:pPr>
      <w:r>
        <w:rPr/>
      </w:r>
    </w:p>
    <w:p>
      <w:pPr>
        <w:pStyle w:val="Normal"/>
        <w:spacing w:lineRule="auto" w:line="276" w:before="57" w:after="57"/>
        <w:ind w:hanging="0" w:left="0" w:right="0"/>
        <w:rPr/>
      </w:pPr>
      <w:r>
        <w:rPr>
          <w:rFonts w:ascii="Verdana" w:hAnsi="Verdana"/>
          <w:b/>
          <w:bCs/>
          <w:sz w:val="20"/>
        </w:rPr>
        <w:t>2. FUNDAMENTAÇÃO E DESCRIÇÃO DA NECESSIDADE DA CONTRATAÇÃO</w:t>
      </w:r>
    </w:p>
    <w:p>
      <w:pPr>
        <w:pStyle w:val="ListParagraph"/>
        <w:widowControl w:val="false"/>
        <w:tabs>
          <w:tab w:val="clear" w:pos="708"/>
          <w:tab w:val="left" w:pos="-2410" w:leader="none"/>
          <w:tab w:val="left" w:pos="567" w:leader="none"/>
        </w:tabs>
        <w:spacing w:before="57" w:after="57"/>
        <w:ind w:hanging="0" w:left="0" w:right="0"/>
        <w:contextualSpacing w:val="false"/>
        <w:jc w:val="both"/>
        <w:rPr/>
      </w:pPr>
      <w:r>
        <w:rPr>
          <w:rFonts w:cs="Arial" w:ascii="Verdana" w:hAnsi="Verdana"/>
          <w:color w:val="000000"/>
          <w:sz w:val="20"/>
          <w:szCs w:val="20"/>
        </w:rPr>
        <w:t xml:space="preserve">2.1. </w:t>
      </w:r>
      <w:r>
        <w:rPr>
          <w:rFonts w:cs="Arial" w:ascii="Verdana" w:hAnsi="Verdana"/>
          <w:color w:val="000000"/>
          <w:sz w:val="20"/>
          <w:szCs w:val="20"/>
          <w:lang w:eastAsia="en-US"/>
        </w:rPr>
        <w:t xml:space="preserve">A aquisição dos produtos tem por objetivo atender a demanda do Cadastro Único, formalizada por meio do memorando nº 021/2024, e visando proporcionar mais comodidade aos usuários. </w:t>
      </w:r>
    </w:p>
    <w:p>
      <w:pPr>
        <w:pStyle w:val="ListParagraph"/>
        <w:widowControl w:val="false"/>
        <w:tabs>
          <w:tab w:val="clear" w:pos="708"/>
          <w:tab w:val="left" w:pos="-2410" w:leader="none"/>
          <w:tab w:val="left" w:pos="567" w:leader="none"/>
        </w:tabs>
        <w:spacing w:before="57" w:after="57"/>
        <w:ind w:hanging="0" w:left="0" w:right="0"/>
        <w:contextualSpacing w:val="false"/>
        <w:jc w:val="both"/>
        <w:rPr/>
      </w:pPr>
      <w:r>
        <w:rPr>
          <w:rFonts w:cs="Arial" w:ascii="Verdana" w:hAnsi="Verdana"/>
          <w:color w:val="000000"/>
          <w:sz w:val="20"/>
          <w:szCs w:val="20"/>
          <w:lang w:eastAsia="en-US"/>
        </w:rPr>
        <w:t xml:space="preserve">2.2. </w:t>
      </w:r>
      <w:r>
        <w:rPr>
          <w:rFonts w:cs="Arial" w:ascii="Verdana" w:hAnsi="Verdana"/>
          <w:color w:val="000000"/>
          <w:sz w:val="20"/>
          <w:szCs w:val="20"/>
          <w:lang w:eastAsia="zh-CN"/>
        </w:rPr>
        <w:t xml:space="preserve">A Secretaria sofre constantemente, em situações de sol e chuva </w:t>
      </w:r>
      <w:r>
        <w:rPr>
          <w:rFonts w:eastAsia="Times New Roman" w:cs="Arial" w:ascii="Verdana" w:hAnsi="Verdana"/>
          <w:color w:val="000000"/>
          <w:sz w:val="20"/>
          <w:szCs w:val="20"/>
          <w:lang w:eastAsia="zh-CN"/>
        </w:rPr>
        <w:t xml:space="preserve">que adentra às portas e janelas, causando transtornos aos servidores e usuários do local e ocasionando risco de queda no piso molhado. 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u w:val="single"/>
        </w:rPr>
      </w:pPr>
      <w:r>
        <w:rPr>
          <w:rFonts w:cs="Arial" w:ascii="Verdana" w:hAnsi="Verdana"/>
          <w:b/>
          <w:sz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b/>
          <w:bCs/>
          <w:sz w:val="20"/>
        </w:rPr>
        <w:t>3. DESCRIÇÃO DA SOLUÇÃO COMO UM TODO CONSIDERANDO O CICLO DE VIDA DO OBJETO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cs="Arial" w:ascii="Verdana" w:hAnsi="Verdana"/>
          <w:sz w:val="20"/>
        </w:rPr>
        <w:t xml:space="preserve">3.1 A solução a ser adotada consiste </w:t>
      </w:r>
      <w:r>
        <w:rPr>
          <w:rFonts w:cs="Arial" w:ascii="Verdana" w:hAnsi="Verdana"/>
          <w:color w:val="000000"/>
          <w:sz w:val="20"/>
          <w:lang w:eastAsia="zh-CN"/>
        </w:rPr>
        <w:t>na aquisição de toldos para atender as demandas da Secretaria de Assistência Social e Cadastro Único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cs="Arial" w:ascii="Verdana" w:hAnsi="Verdana"/>
          <w:sz w:val="20"/>
        </w:rPr>
        <w:t xml:space="preserve">3.2. Os </w:t>
      </w:r>
      <w:r>
        <w:rPr>
          <w:rFonts w:cs="Arial" w:ascii="Verdana" w:hAnsi="Verdana"/>
          <w:color w:val="000000"/>
          <w:sz w:val="20"/>
          <w:lang w:eastAsia="zh-CN"/>
        </w:rPr>
        <w:t>materiais</w:t>
      </w:r>
      <w:r>
        <w:rPr>
          <w:rFonts w:cs="Arial" w:ascii="Verdana" w:hAnsi="Verdana"/>
          <w:sz w:val="20"/>
        </w:rPr>
        <w:t xml:space="preserve"> deverão ser </w:t>
      </w:r>
      <w:r>
        <w:rPr>
          <w:rFonts w:cs="Arial" w:ascii="Verdana" w:hAnsi="Verdana"/>
          <w:color w:val="000000"/>
          <w:sz w:val="20"/>
          <w:lang w:eastAsia="zh-CN"/>
        </w:rPr>
        <w:t>entregues</w:t>
      </w:r>
      <w:r>
        <w:rPr>
          <w:rFonts w:cs="Arial" w:ascii="Verdana" w:hAnsi="Verdana"/>
          <w:sz w:val="20"/>
        </w:rPr>
        <w:t xml:space="preserve"> respeitando as seguintes tarefas: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960" w:leader="none"/>
        </w:tabs>
        <w:suppressAutoHyphens w:val="true"/>
        <w:bidi w:val="0"/>
        <w:spacing w:lineRule="auto" w:line="276" w:before="57" w:after="57"/>
        <w:ind w:hanging="0" w:left="567" w:right="0"/>
        <w:jc w:val="left"/>
        <w:rPr/>
      </w:pPr>
      <w:r>
        <w:rPr>
          <w:rFonts w:cs="Arial" w:ascii="Verdana" w:hAnsi="Verdana"/>
          <w:color w:val="000000"/>
          <w:sz w:val="20"/>
          <w:lang w:eastAsia="zh-CN"/>
        </w:rPr>
        <w:t>Transporte e logística dos produtos até o local de entrega;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960" w:leader="none"/>
        </w:tabs>
        <w:suppressAutoHyphens w:val="true"/>
        <w:bidi w:val="0"/>
        <w:spacing w:lineRule="auto" w:line="276" w:before="57" w:after="57"/>
        <w:ind w:hanging="0" w:left="567" w:right="0"/>
        <w:jc w:val="left"/>
        <w:rPr/>
      </w:pPr>
      <w:r>
        <w:rPr>
          <w:rFonts w:cs="Arial" w:ascii="Verdana" w:hAnsi="Verdana"/>
          <w:color w:val="000000"/>
          <w:sz w:val="20"/>
          <w:lang w:eastAsia="zh-CN"/>
        </w:rPr>
        <w:t>Obedecer ao prazo de entrega determinado.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960" w:leader="none"/>
        </w:tabs>
        <w:suppressAutoHyphens w:val="true"/>
        <w:bidi w:val="0"/>
        <w:spacing w:lineRule="auto" w:line="276" w:before="57" w:after="57"/>
        <w:ind w:hanging="0" w:left="567" w:right="0"/>
        <w:jc w:val="left"/>
        <w:rPr/>
      </w:pPr>
      <w:r>
        <w:rPr>
          <w:rFonts w:cs="Arial" w:ascii="Verdana" w:hAnsi="Verdana"/>
          <w:color w:val="000000"/>
          <w:sz w:val="20"/>
          <w:lang w:eastAsia="zh-CN"/>
        </w:rPr>
        <w:t>Entregar os materiais em prefeitas condições de uso;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960" w:leader="none"/>
        </w:tabs>
        <w:suppressAutoHyphens w:val="true"/>
        <w:bidi w:val="0"/>
        <w:spacing w:lineRule="auto" w:line="276" w:before="57" w:after="57"/>
        <w:ind w:hanging="0" w:left="567" w:right="0"/>
        <w:jc w:val="left"/>
        <w:rPr/>
      </w:pPr>
      <w:r>
        <w:rPr>
          <w:rFonts w:cs="Arial" w:ascii="Verdana" w:hAnsi="Verdana"/>
          <w:color w:val="000000"/>
          <w:sz w:val="20"/>
          <w:lang w:eastAsia="zh-CN"/>
        </w:rPr>
        <w:t>Realizar a troca do produto, em caso de danos, dentro do prazo determinado</w:t>
      </w:r>
      <w:r>
        <w:rPr>
          <w:rFonts w:cs="Arial" w:ascii="Verdana" w:hAnsi="Verdana"/>
          <w:sz w:val="20"/>
        </w:rPr>
        <w:t>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960" w:leader="none"/>
        </w:tabs>
        <w:suppressAutoHyphens w:val="true"/>
        <w:bidi w:val="0"/>
        <w:spacing w:lineRule="auto" w:line="276" w:before="57" w:after="57"/>
        <w:ind w:hanging="0" w:left="567" w:right="0"/>
        <w:jc w:val="left"/>
        <w:rPr/>
      </w:pPr>
      <w:r>
        <w:rPr>
          <w:rFonts w:ascii="Verdana" w:hAnsi="Verdana"/>
          <w:sz w:val="20"/>
        </w:rPr>
        <w:t>Realizar a montagem e instalação do produto nos locais indicados no item 02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color w:val="000000"/>
          <w:sz w:val="20"/>
        </w:rPr>
        <w:t xml:space="preserve">3.3. </w:t>
      </w:r>
      <w:r>
        <w:rPr>
          <w:rFonts w:eastAsia="Arial" w:cs="Arial" w:ascii="Verdana" w:hAnsi="Verdana"/>
          <w:color w:val="000000"/>
          <w:sz w:val="20"/>
        </w:rPr>
        <w:t>As especificações dos produtos que estão contidas neste Estudo Técnico Preliminar, conforme solicitação de compras em anexo, estão de acordo com os padrões existentes no mercado.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color w:val="000000"/>
          <w:sz w:val="20"/>
        </w:rPr>
        <w:t xml:space="preserve">3.7. </w:t>
      </w:r>
      <w:r>
        <w:rPr>
          <w:rFonts w:cs="Arial" w:ascii="Verdana" w:hAnsi="Verdana"/>
          <w:color w:val="000000"/>
          <w:sz w:val="20"/>
        </w:rPr>
        <w:t>A aquisição deverá obedecer, no que couber, ao disposto na Lei n.º 14.133/2021 e suas alterações.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u w:val="single"/>
        </w:rPr>
      </w:pPr>
      <w:r>
        <w:rPr>
          <w:rFonts w:cs="Arial" w:ascii="Verdana" w:hAnsi="Verdana"/>
          <w:b/>
          <w:sz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b/>
          <w:bCs/>
          <w:sz w:val="20"/>
        </w:rPr>
        <w:t>4. REQUISITOS DA CONTRATAÇÃO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cs="Arial" w:ascii="Verdana" w:hAnsi="Verdana"/>
          <w:sz w:val="20"/>
        </w:rPr>
        <w:t xml:space="preserve">4.1. Na </w:t>
      </w:r>
      <w:r>
        <w:rPr>
          <w:rFonts w:cs="Arial" w:ascii="Verdana" w:hAnsi="Verdana"/>
          <w:color w:val="000000"/>
          <w:sz w:val="20"/>
          <w:lang w:eastAsia="zh-CN"/>
        </w:rPr>
        <w:t>entrega dos produtos</w:t>
      </w:r>
      <w:r>
        <w:rPr>
          <w:rFonts w:cs="Arial" w:ascii="Verdana" w:hAnsi="Verdana"/>
          <w:sz w:val="20"/>
        </w:rPr>
        <w:t>, a CONTRATADA deve: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cs="Arial" w:ascii="Verdana" w:hAnsi="Verdana"/>
          <w:sz w:val="20"/>
        </w:rPr>
        <w:t xml:space="preserve">a) Fornecer os itens em perfeitas condições de </w:t>
      </w:r>
      <w:r>
        <w:rPr>
          <w:rFonts w:cs="Arial" w:ascii="Verdana" w:hAnsi="Verdana"/>
          <w:color w:val="000000"/>
          <w:sz w:val="20"/>
          <w:lang w:eastAsia="zh-CN"/>
        </w:rPr>
        <w:t>uso</w:t>
      </w:r>
      <w:r>
        <w:rPr>
          <w:rFonts w:cs="Arial" w:ascii="Verdana" w:hAnsi="Verdana"/>
          <w:sz w:val="20"/>
        </w:rPr>
        <w:t>, sem nenhuma avaria que comprometa a sua qualidade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cs="Arial" w:ascii="Verdana" w:hAnsi="Verdana"/>
          <w:sz w:val="20"/>
        </w:rPr>
        <w:t xml:space="preserve">b) </w:t>
      </w:r>
      <w:r>
        <w:rPr>
          <w:rFonts w:cs="Arial" w:ascii="Verdana" w:hAnsi="Verdana"/>
          <w:color w:val="000000"/>
          <w:sz w:val="20"/>
          <w:lang w:eastAsia="zh-CN"/>
        </w:rPr>
        <w:t>Fornecer os itens conforme a cotação de preços</w:t>
      </w:r>
      <w:r>
        <w:rPr>
          <w:rFonts w:cs="Arial" w:ascii="Verdana" w:hAnsi="Verdana"/>
          <w:sz w:val="20"/>
        </w:rPr>
        <w:t xml:space="preserve">. 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cs="Arial" w:ascii="Verdana" w:hAnsi="Verdana"/>
          <w:color w:val="000000"/>
          <w:sz w:val="20"/>
        </w:rPr>
        <w:t xml:space="preserve">c) </w:t>
      </w:r>
      <w:r>
        <w:rPr>
          <w:rFonts w:cs="Arial" w:ascii="Verdana" w:hAnsi="Verdana"/>
          <w:color w:val="000000"/>
          <w:sz w:val="20"/>
          <w:lang w:eastAsia="zh-CN"/>
        </w:rPr>
        <w:t>realizar a entrega, montagem e instalação dos produtos dentro do prazo determinado, sendo de sua total responsabilidade o custo com a logística</w:t>
      </w:r>
      <w:r>
        <w:rPr>
          <w:rFonts w:cs="Arial" w:ascii="Verdana" w:hAnsi="Verdana"/>
          <w:color w:val="000000"/>
          <w:sz w:val="20"/>
        </w:rPr>
        <w:t xml:space="preserve">. 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cs="Arial" w:ascii="Verdana" w:hAnsi="Verdana"/>
          <w:sz w:val="20"/>
        </w:rPr>
        <w:t>d) Cotar e fornecer produtos de qualidade e que sejam próprios para o uso a que se destinam.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cs="Arial" w:ascii="Verdana" w:hAnsi="Verdana"/>
          <w:sz w:val="20"/>
        </w:rPr>
        <w:t xml:space="preserve">e) Realizar substituição dos </w:t>
      </w:r>
      <w:r>
        <w:rPr>
          <w:rFonts w:cs="Arial" w:ascii="Verdana" w:hAnsi="Verdana"/>
          <w:color w:val="000000"/>
          <w:sz w:val="20"/>
          <w:lang w:eastAsia="zh-CN"/>
        </w:rPr>
        <w:t>produtos que foram entregues danificados no prazo de até 05 dias, se for o caso.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b/>
          <w:bCs/>
          <w:sz w:val="20"/>
        </w:rPr>
        <w:t>4.2. Da qualificação técnica.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sz w:val="20"/>
        </w:rPr>
        <w:t xml:space="preserve">4.2.1. Comprovação de aptidão para desempenho de atividade pertinente e compatível com o objeto desta </w:t>
      </w:r>
      <w:r>
        <w:rPr>
          <w:rFonts w:ascii="Verdana" w:hAnsi="Verdana"/>
          <w:color w:val="000000"/>
          <w:sz w:val="20"/>
          <w:lang w:eastAsia="zh-CN"/>
        </w:rPr>
        <w:t>aquisição</w:t>
      </w:r>
      <w:r>
        <w:rPr>
          <w:rFonts w:ascii="Verdana" w:hAnsi="Verdana"/>
          <w:sz w:val="20"/>
        </w:rPr>
        <w:t>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sz w:val="20"/>
        </w:rPr>
        <w:t>4.2.2. Registro da pessoa jurídica (CONTRATADA) nos órgãos competentes e Conselho Regional da classe, se for o caso.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b/>
          <w:bCs/>
          <w:sz w:val="20"/>
        </w:rPr>
        <w:t>5. MODELO DE EXECUÇÃO CONTRATUAL</w:t>
      </w:r>
    </w:p>
    <w:p>
      <w:pPr>
        <w:pStyle w:val="ListParagraph"/>
        <w:tabs>
          <w:tab w:val="clear" w:pos="708"/>
          <w:tab w:val="left" w:pos="0" w:leader="none"/>
          <w:tab w:val="left" w:pos="450" w:leader="none"/>
        </w:tabs>
        <w:spacing w:before="57" w:after="57"/>
        <w:ind w:hanging="0" w:left="0" w:right="0"/>
        <w:contextualSpacing w:val="false"/>
        <w:jc w:val="both"/>
        <w:rPr/>
      </w:pPr>
      <w:r>
        <w:rPr>
          <w:rFonts w:cs="Times New Roman" w:ascii="Verdana" w:hAnsi="Verdana"/>
          <w:iCs/>
          <w:sz w:val="20"/>
          <w:szCs w:val="20"/>
        </w:rPr>
        <w:t>5.1.</w:t>
      </w:r>
      <w:r>
        <w:rPr>
          <w:rFonts w:cs="Times New Roman" w:ascii="Verdana" w:hAnsi="Verdana"/>
          <w:bCs/>
          <w:iCs/>
          <w:sz w:val="20"/>
          <w:szCs w:val="20"/>
        </w:rPr>
        <w:t xml:space="preserve"> O prazo </w:t>
      </w:r>
      <w:r>
        <w:rPr>
          <w:rFonts w:eastAsia="Times New Roman" w:cs="Times New Roman" w:ascii="Verdana" w:hAnsi="Verdana"/>
          <w:bCs/>
          <w:iCs/>
          <w:sz w:val="20"/>
          <w:szCs w:val="20"/>
        </w:rPr>
        <w:t>de entrega do objeto</w:t>
      </w:r>
      <w:r>
        <w:rPr>
          <w:rFonts w:cs="Times New Roman" w:ascii="Verdana" w:hAnsi="Verdana"/>
          <w:bCs/>
          <w:iCs/>
          <w:sz w:val="20"/>
          <w:szCs w:val="20"/>
        </w:rPr>
        <w:t xml:space="preserve"> será </w:t>
      </w:r>
      <w:r>
        <w:rPr>
          <w:rFonts w:eastAsia="Times New Roman" w:cs="Times New Roman" w:ascii="Verdana" w:hAnsi="Verdana"/>
          <w:bCs/>
          <w:iCs/>
          <w:sz w:val="20"/>
          <w:szCs w:val="20"/>
        </w:rPr>
        <w:t>de 20 (vinte) dias, contados</w:t>
      </w:r>
      <w:r>
        <w:rPr>
          <w:rFonts w:cs="Times New Roman" w:ascii="Verdana" w:hAnsi="Verdana"/>
          <w:bCs/>
          <w:iCs/>
          <w:sz w:val="20"/>
          <w:szCs w:val="20"/>
        </w:rPr>
        <w:t xml:space="preserve"> a partir da confirmação de recebimento da autorização de fornecimento/execução emitida pelo Departamento de Compras e Contratos.</w:t>
      </w:r>
    </w:p>
    <w:p>
      <w:pPr>
        <w:pStyle w:val="Normal"/>
        <w:tabs>
          <w:tab w:val="clear" w:pos="708"/>
          <w:tab w:val="left" w:pos="0" w:leader="none"/>
        </w:tabs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sz w:val="20"/>
        </w:rPr>
        <w:t>5.2. Os objetos deverão ser entregues nos seguintes endereços: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cs="Arial" w:ascii="Verdana" w:hAnsi="Verdana"/>
          <w:b/>
          <w:bCs/>
          <w:sz w:val="20"/>
          <w:lang w:eastAsia="zh-CN"/>
        </w:rPr>
        <w:t xml:space="preserve"> – </w:t>
      </w:r>
      <w:r>
        <w:rPr>
          <w:rFonts w:cs="Arial" w:ascii="Verdana" w:hAnsi="Verdana"/>
          <w:b/>
          <w:bCs/>
          <w:sz w:val="20"/>
          <w:lang w:eastAsia="zh-CN"/>
        </w:rPr>
        <w:t>Secretaria de Assistência Social</w:t>
      </w:r>
      <w:r>
        <w:rPr>
          <w:rFonts w:cs="Arial" w:ascii="Verdana" w:hAnsi="Verdana"/>
          <w:sz w:val="20"/>
          <w:lang w:eastAsia="zh-CN"/>
        </w:rPr>
        <w:t xml:space="preserve"> (toldo 9 m x 1,2 m)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cs="Arial" w:ascii="Verdana" w:hAnsi="Verdana"/>
          <w:sz w:val="20"/>
          <w:lang w:eastAsia="zh-CN"/>
        </w:rPr>
        <w:t>Rua 14 de maio, 54 – Bairro Glória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cs="Arial" w:ascii="Verdana" w:hAnsi="Verdana"/>
          <w:sz w:val="20"/>
          <w:lang w:eastAsia="zh-CN"/>
        </w:rPr>
        <w:t>São Gabriel da Palha/ES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cs="Arial" w:ascii="Verdana" w:hAnsi="Verdana"/>
          <w:b/>
          <w:bCs/>
          <w:sz w:val="20"/>
          <w:lang w:eastAsia="zh-CN"/>
        </w:rPr>
        <w:t xml:space="preserve"> – </w:t>
      </w:r>
      <w:r>
        <w:rPr>
          <w:rFonts w:cs="Arial" w:ascii="Verdana" w:hAnsi="Verdana"/>
          <w:b/>
          <w:bCs/>
          <w:sz w:val="20"/>
          <w:lang w:eastAsia="zh-CN"/>
        </w:rPr>
        <w:t>Gerência do Cadastro Único</w:t>
      </w:r>
      <w:r>
        <w:rPr>
          <w:rFonts w:cs="Arial" w:ascii="Verdana" w:hAnsi="Verdana"/>
          <w:sz w:val="20"/>
          <w:lang w:eastAsia="zh-CN"/>
        </w:rPr>
        <w:t xml:space="preserve"> (toldo 7 m x 0,90 m)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cs="Arial" w:ascii="Verdana" w:hAnsi="Verdana"/>
          <w:sz w:val="20"/>
          <w:lang w:eastAsia="zh-CN"/>
        </w:rPr>
        <w:t>Av. Maria Celeste Torezani Storch, s/n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cs="Arial" w:ascii="Verdana" w:hAnsi="Verdana"/>
          <w:sz w:val="20"/>
          <w:lang w:eastAsia="zh-CN"/>
        </w:rPr>
        <w:t>Bairro São Vicente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cs="Arial" w:ascii="Verdana" w:hAnsi="Verdana"/>
          <w:sz w:val="20"/>
          <w:lang w:eastAsia="zh-CN"/>
        </w:rPr>
        <w:t>São Gabriel da Palha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cs="Arial" w:ascii="Verdana" w:hAnsi="Verdana"/>
          <w:sz w:val="20"/>
          <w:lang w:eastAsia="zh-CN"/>
        </w:rPr>
        <w:tab/>
      </w:r>
    </w:p>
    <w:p>
      <w:pPr>
        <w:pStyle w:val="Normal"/>
        <w:tabs>
          <w:tab w:val="clear" w:pos="708"/>
          <w:tab w:val="left" w:pos="508" w:leader="none"/>
        </w:tabs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sz w:val="20"/>
        </w:rPr>
        <w:t>5.2.1. Telefone de contato: (27) 99975-6571 / 9991-3498</w:t>
      </w:r>
    </w:p>
    <w:p>
      <w:pPr>
        <w:pStyle w:val="Normal"/>
        <w:tabs>
          <w:tab w:val="clear" w:pos="708"/>
          <w:tab w:val="left" w:pos="508" w:leader="none"/>
        </w:tabs>
        <w:spacing w:lineRule="auto" w:line="276" w:before="57" w:after="57"/>
        <w:ind w:hanging="0" w:left="0" w:right="0"/>
        <w:jc w:val="both"/>
        <w:rPr/>
      </w:pPr>
      <w:r>
        <w:rPr>
          <w:rStyle w:val="InternetLink"/>
          <w:rFonts w:ascii="Verdana" w:hAnsi="Verdana"/>
          <w:color w:val="000000"/>
          <w:sz w:val="20"/>
          <w:u w:val="none"/>
        </w:rPr>
        <w:t xml:space="preserve"> </w:t>
      </w:r>
      <w:r>
        <w:rPr>
          <w:rStyle w:val="InternetLink"/>
          <w:rFonts w:ascii="Verdana" w:hAnsi="Verdana"/>
          <w:b/>
          <w:bCs/>
          <w:color w:val="000000"/>
          <w:sz w:val="20"/>
          <w:u w:val="none"/>
        </w:rPr>
        <w:t xml:space="preserve">– </w:t>
      </w:r>
      <w:r>
        <w:rPr>
          <w:rStyle w:val="InternetLink"/>
          <w:rFonts w:ascii="Verdana" w:hAnsi="Verdana"/>
          <w:b/>
          <w:bCs/>
          <w:color w:val="000000"/>
          <w:sz w:val="20"/>
          <w:u w:val="none"/>
        </w:rPr>
        <w:t xml:space="preserve">E-mail: </w:t>
      </w:r>
      <w:r>
        <w:rPr>
          <w:rStyle w:val="InternetLink"/>
          <w:rFonts w:ascii="Verdana" w:hAnsi="Verdana"/>
          <w:color w:val="000000"/>
          <w:sz w:val="20"/>
          <w:u w:val="none"/>
        </w:rPr>
        <w:t>assistenciasgp@gmail.com</w:t>
      </w:r>
    </w:p>
    <w:p>
      <w:pPr>
        <w:pStyle w:val="Normal"/>
        <w:tabs>
          <w:tab w:val="clear" w:pos="708"/>
          <w:tab w:val="left" w:pos="508" w:leader="none"/>
        </w:tabs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b/>
          <w:bCs/>
          <w:iCs/>
          <w:sz w:val="20"/>
        </w:rPr>
        <w:t xml:space="preserve"> – </w:t>
      </w:r>
      <w:r>
        <w:rPr>
          <w:rFonts w:ascii="Verdana" w:hAnsi="Verdana"/>
          <w:b/>
          <w:bCs/>
          <w:iCs/>
          <w:sz w:val="20"/>
        </w:rPr>
        <w:t>Responsável:</w:t>
      </w:r>
      <w:r>
        <w:rPr>
          <w:rFonts w:ascii="Verdana" w:hAnsi="Verdana"/>
          <w:iCs/>
          <w:sz w:val="20"/>
        </w:rPr>
        <w:t xml:space="preserve"> Secretaria Municipal de Assistência, Desenvolvimento Social e Família</w:t>
      </w:r>
    </w:p>
    <w:p>
      <w:pPr>
        <w:pStyle w:val="Nivel2"/>
        <w:spacing w:before="57" w:after="57"/>
        <w:ind w:hanging="0" w:left="0" w:right="0"/>
        <w:rPr/>
      </w:pPr>
      <w:r>
        <w:rPr>
          <w:rFonts w:cs="Times New Roman" w:ascii="Verdana" w:hAnsi="Verdana"/>
          <w:iCs/>
          <w:color w:val="auto"/>
          <w:sz w:val="20"/>
          <w:szCs w:val="20"/>
        </w:rPr>
        <w:t>5.3</w:t>
      </w:r>
      <w:r>
        <w:rPr>
          <w:rFonts w:cs="Times New Roman" w:ascii="Verdana" w:hAnsi="Verdana"/>
          <w:b/>
          <w:bCs/>
          <w:iCs/>
          <w:color w:val="auto"/>
          <w:sz w:val="20"/>
          <w:szCs w:val="20"/>
        </w:rPr>
        <w:t xml:space="preserve">. </w:t>
      </w:r>
      <w:r>
        <w:rPr>
          <w:rFonts w:cs="Times New Roman" w:ascii="Verdana" w:hAnsi="Verdana"/>
          <w:bCs/>
          <w:iCs/>
          <w:color w:val="auto"/>
          <w:sz w:val="20"/>
          <w:szCs w:val="20"/>
        </w:rPr>
        <w:t xml:space="preserve">Caso não seja possível a entrega na data assinalada, a empresa deverá comunicar as razões respectivas com pelo menos 05 (cinco) dias de antecedência para que qualquer pleito de prorrogação de prazo seja analisado, ressalvadas situações de caso fortuito e </w:t>
      </w:r>
      <w:r>
        <w:rPr>
          <w:rFonts w:cs="Times New Roman" w:ascii="Verdana" w:hAnsi="Verdana"/>
          <w:iCs/>
          <w:color w:val="auto"/>
          <w:sz w:val="20"/>
          <w:szCs w:val="20"/>
        </w:rPr>
        <w:t>força</w:t>
      </w:r>
      <w:r>
        <w:rPr>
          <w:rFonts w:cs="Times New Roman" w:ascii="Verdana" w:hAnsi="Verdana"/>
          <w:bCs/>
          <w:iCs/>
          <w:color w:val="auto"/>
          <w:sz w:val="20"/>
          <w:szCs w:val="20"/>
        </w:rPr>
        <w:t xml:space="preserve"> maior.</w:t>
      </w:r>
    </w:p>
    <w:p>
      <w:pPr>
        <w:pStyle w:val="Nivel2"/>
        <w:spacing w:before="57" w:after="57"/>
        <w:ind w:hanging="0" w:left="0" w:right="0"/>
        <w:rPr/>
      </w:pPr>
      <w:r>
        <w:rPr>
          <w:rFonts w:cs="Times New Roman" w:ascii="Verdana" w:hAnsi="Verdana"/>
          <w:color w:val="auto"/>
          <w:sz w:val="20"/>
          <w:szCs w:val="20"/>
        </w:rPr>
        <w:t>5.4.</w:t>
      </w:r>
      <w:r>
        <w:rPr>
          <w:rFonts w:cs="Times New Roman" w:ascii="Verdana" w:hAnsi="Verdana"/>
          <w:bCs/>
          <w:color w:val="auto"/>
          <w:sz w:val="20"/>
          <w:szCs w:val="20"/>
        </w:rPr>
        <w:t xml:space="preserve"> Os itens serão recebidos pelo(a) responsável de cada setor, conforme descrito acima, para acompanhamento e fiscalização e posterior verificação de sua conformidade com as especificações constantes neste Termo de Referência e na proposta.</w:t>
      </w:r>
    </w:p>
    <w:p>
      <w:pPr>
        <w:pStyle w:val="ListParagraph"/>
        <w:spacing w:before="57" w:after="57"/>
        <w:ind w:hanging="0" w:left="0" w:right="0"/>
        <w:contextualSpacing w:val="false"/>
        <w:jc w:val="both"/>
        <w:rPr/>
      </w:pPr>
      <w:r>
        <w:rPr>
          <w:rFonts w:ascii="Verdana" w:hAnsi="Verdana"/>
          <w:sz w:val="20"/>
          <w:szCs w:val="20"/>
        </w:rPr>
        <w:t xml:space="preserve">5.5. A conferência </w:t>
      </w:r>
      <w:r>
        <w:rPr>
          <w:rFonts w:eastAsia="Times New Roman" w:cs="Times New Roman" w:ascii="Verdana" w:hAnsi="Verdana"/>
          <w:sz w:val="20"/>
          <w:szCs w:val="20"/>
        </w:rPr>
        <w:t>dos itens</w:t>
      </w:r>
      <w:r>
        <w:rPr>
          <w:rFonts w:ascii="Verdana" w:hAnsi="Verdana"/>
          <w:sz w:val="20"/>
          <w:szCs w:val="20"/>
        </w:rPr>
        <w:t xml:space="preserve"> deverá ser acompanhada por um servidor </w:t>
      </w:r>
      <w:r>
        <w:rPr>
          <w:rFonts w:eastAsia="Times New Roman" w:cs="Times New Roman" w:ascii="Verdana" w:hAnsi="Verdana"/>
          <w:sz w:val="20"/>
          <w:szCs w:val="20"/>
        </w:rPr>
        <w:t>da secretaria requisitante</w:t>
      </w:r>
      <w:r>
        <w:rPr>
          <w:rFonts w:ascii="Verdana" w:hAnsi="Verdana"/>
          <w:sz w:val="20"/>
          <w:szCs w:val="20"/>
        </w:rPr>
        <w:t>, a fim de zelar pela qualidade e quantidade dos itens a serem adquiridos.</w:t>
      </w:r>
    </w:p>
    <w:p>
      <w:pPr>
        <w:pStyle w:val="ListParagraph"/>
        <w:widowControl/>
        <w:suppressAutoHyphens w:val="true"/>
        <w:bidi w:val="0"/>
        <w:spacing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  <w:lang w:eastAsia="pt-BR"/>
        </w:rPr>
      </w:pPr>
      <w:r>
        <w:rPr>
          <w:rFonts w:ascii="Verdana" w:hAnsi="Verdana"/>
          <w:sz w:val="20"/>
          <w:szCs w:val="20"/>
          <w:lang w:eastAsia="pt-BR"/>
        </w:rPr>
        <w:t>5.6. O item poderá ser rejeitado, no todo ou em parte, quando em desacordo com as especificações constantes no ETP, neste Termo de Referência e na respectiva Autorização de Fornecimento, devendo ser substituído imediatamente, no momento da constatação pelo demandante, às suas custas.</w:t>
      </w:r>
    </w:p>
    <w:p>
      <w:pPr>
        <w:pStyle w:val="ListParagraph"/>
        <w:widowControl/>
        <w:suppressAutoHyphens w:val="true"/>
        <w:bidi w:val="0"/>
        <w:spacing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  <w:lang w:eastAsia="pt-BR"/>
        </w:rPr>
      </w:pPr>
      <w:r>
        <w:rPr>
          <w:rFonts w:ascii="Verdana" w:hAnsi="Verdana"/>
          <w:sz w:val="20"/>
          <w:szCs w:val="20"/>
          <w:lang w:eastAsia="pt-BR"/>
        </w:rPr>
        <w:t>5.7. O recebimento provisório ou definitivo não excluirá a responsabilidade da contratada pelos prejuízos resultantes da incorreta execução do contrato.</w:t>
      </w:r>
    </w:p>
    <w:p>
      <w:pPr>
        <w:pStyle w:val="ListParagraph"/>
        <w:widowControl/>
        <w:suppressAutoHyphens w:val="true"/>
        <w:bidi w:val="0"/>
        <w:spacing w:before="57" w:after="57"/>
        <w:ind w:hanging="0" w:left="0" w:right="0"/>
        <w:contextualSpacing w:val="false"/>
        <w:jc w:val="both"/>
        <w:rPr>
          <w:rFonts w:ascii="Verdana" w:hAnsi="Verdana"/>
          <w:sz w:val="20"/>
          <w:szCs w:val="20"/>
          <w:lang w:eastAsia="pt-BR"/>
        </w:rPr>
      </w:pPr>
      <w:r>
        <w:rPr>
          <w:rFonts w:ascii="Verdana" w:hAnsi="Verdana"/>
          <w:sz w:val="20"/>
          <w:szCs w:val="20"/>
          <w:lang w:eastAsia="pt-BR"/>
        </w:rPr>
        <w:t>5.8. No caso de recusa da entrega do produto pelo fornecedor, a Administração Pública adotará as providências cabíveis, de cordo com a legislação aplicável, visando sanar problemas por ventura ocorridos.</w:t>
      </w:r>
    </w:p>
    <w:p>
      <w:pPr>
        <w:pStyle w:val="ListParagraph"/>
        <w:widowControl/>
        <w:suppressAutoHyphens w:val="true"/>
        <w:bidi w:val="0"/>
        <w:spacing w:before="57" w:after="57"/>
        <w:ind w:hanging="0" w:left="0" w:right="0"/>
        <w:contextualSpacing w:val="false"/>
        <w:jc w:val="both"/>
        <w:rPr/>
      </w:pPr>
      <w:r>
        <w:rPr>
          <w:rFonts w:ascii="Verdana" w:hAnsi="Verdana"/>
          <w:sz w:val="20"/>
          <w:szCs w:val="20"/>
          <w:lang w:eastAsia="pt-BR"/>
        </w:rPr>
        <w:t>5.9. Não se verifica contra</w:t>
      </w:r>
      <w:r>
        <w:rPr>
          <w:rFonts w:cs="Times New Roman" w:ascii="Verdana" w:hAnsi="Verdana"/>
          <w:iCs/>
          <w:color w:val="auto"/>
          <w:sz w:val="20"/>
          <w:szCs w:val="20"/>
        </w:rPr>
        <w:t>tações correlatas ou interdependentes.</w:t>
      </w:r>
    </w:p>
    <w:p>
      <w:pPr>
        <w:pStyle w:val="Nivel2"/>
        <w:spacing w:before="57" w:after="57"/>
        <w:ind w:hanging="0" w:left="0" w:right="0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b/>
          <w:bCs/>
          <w:sz w:val="20"/>
        </w:rPr>
        <w:t>6.</w:t>
      </w:r>
      <w:r>
        <w:rPr>
          <w:rFonts w:cs="Arial" w:ascii="Verdana" w:hAnsi="Verdana"/>
          <w:b/>
          <w:bCs/>
          <w:sz w:val="20"/>
        </w:rPr>
        <w:t xml:space="preserve"> DEFINIÇÃO E JUSTIFICATIVA DE CARACTERIZAÇÃO DO OBJETO E PRAZOS DA CONTRATAÇÃO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cs="Arial" w:ascii="Verdana" w:hAnsi="Verdana"/>
          <w:sz w:val="20"/>
        </w:rPr>
        <w:t>6.1. A especificação</w:t>
      </w:r>
      <w:r>
        <w:rPr>
          <w:rFonts w:cs="Arial" w:ascii="Verdana" w:hAnsi="Verdana"/>
          <w:sz w:val="20"/>
          <w:lang w:eastAsia="zh-CN"/>
        </w:rPr>
        <w:t xml:space="preserve"> dos itens </w:t>
      </w:r>
      <w:r>
        <w:rPr>
          <w:rFonts w:cs="Arial" w:ascii="Verdana" w:hAnsi="Verdana"/>
          <w:sz w:val="20"/>
        </w:rPr>
        <w:t>contidos no ETP e neste Termo de Referência, foi estudada para atender a todas as necessidades apresentadas, garantindo a qualidade do produto ofertado, facilidade na participação de empresas ofertantes, atendimento das necessidades da secretaria e agilidade na entrega do fornecedor.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cs="Arial" w:ascii="Verdana" w:hAnsi="Verdana"/>
          <w:sz w:val="20"/>
          <w:lang w:eastAsia="zh-CN"/>
        </w:rPr>
        <w:t>6.2. Não será necessário a celebração de contrato.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cs="Arial" w:ascii="Verdana" w:hAnsi="Verdana"/>
          <w:b/>
          <w:bCs/>
          <w:sz w:val="20"/>
        </w:rPr>
        <w:t>7. OBRIGAÇÕES DO CONTRATANTE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/>
      </w:pPr>
      <w:r>
        <w:rPr>
          <w:rFonts w:cs="Verdana" w:ascii="Verdana" w:hAnsi="Verdana"/>
          <w:iCs/>
          <w:color w:val="000000"/>
          <w:sz w:val="20"/>
          <w:lang w:eastAsia="en-US"/>
        </w:rPr>
        <w:t>7.1. Cumprir todos os compromissos financeiros assumidos com a CONTRATADA.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/>
      </w:pPr>
      <w:r>
        <w:rPr>
          <w:rFonts w:cs="Verdana" w:ascii="Verdana" w:hAnsi="Verdana"/>
          <w:iCs/>
          <w:color w:val="000000"/>
          <w:sz w:val="20"/>
          <w:lang w:eastAsia="en-US"/>
        </w:rPr>
        <w:t>7.2. Comunicar à CONTRATADA toda e qualquer situação que fuja ao fiel cumprimento deste Termo de Referência pela mesma, dando, sempre que possível, orientações para sanar quaisquer vícios.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/>
      </w:pPr>
      <w:r>
        <w:rPr>
          <w:rFonts w:cs="Verdana" w:ascii="Verdana" w:hAnsi="Verdana"/>
          <w:iCs/>
          <w:color w:val="000000"/>
          <w:sz w:val="20"/>
          <w:lang w:eastAsia="en-US"/>
        </w:rPr>
        <w:t>7.3. Emitir notificação, no prazo de 5 (cinco) dias úteis, contados a partir da ciência do fato, sobre ocorrência de irregularidades na execução do contrato ou entrega, convocando a CONTRATADA para sanar tais irregularidades.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/>
      </w:pPr>
      <w:r>
        <w:rPr>
          <w:rFonts w:cs="Verdana" w:ascii="Verdana" w:hAnsi="Verdana"/>
          <w:iCs/>
          <w:color w:val="000000"/>
          <w:sz w:val="20"/>
          <w:lang w:eastAsia="en-US"/>
        </w:rPr>
        <w:t>7.4. Receber e avaliar o objeto, pronunciando-se acerca do atendimento ou não das especificações estabelecidas neste Termo de Referência.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/>
      </w:pPr>
      <w:r>
        <w:rPr>
          <w:rFonts w:cs="Verdana" w:ascii="Verdana" w:hAnsi="Verdana"/>
          <w:iCs/>
          <w:color w:val="000000"/>
          <w:sz w:val="20"/>
          <w:lang w:eastAsia="en-US"/>
        </w:rPr>
        <w:t>7.5. Atuar de forma ampla e completa no acompanhamento da execução do objeto.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/>
      </w:pPr>
      <w:r>
        <w:rPr>
          <w:rFonts w:cs="Verdana" w:ascii="Verdana" w:hAnsi="Verdana"/>
          <w:iCs/>
          <w:color w:val="000000"/>
          <w:sz w:val="20"/>
          <w:lang w:eastAsia="en-US"/>
        </w:rPr>
        <w:t>7.6. Prestar, por meio da Assessoria de Comunicação, esclarecimentos e informações necessárias à CONTRATADA no sentido de contribuir com a mesma para a plena execução do objeto.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/>
      </w:pPr>
      <w:r>
        <w:rPr>
          <w:rFonts w:cs="Verdana" w:ascii="Verdana" w:hAnsi="Verdana"/>
          <w:iCs/>
          <w:color w:val="000000"/>
          <w:sz w:val="20"/>
          <w:lang w:eastAsia="en-US"/>
        </w:rPr>
        <w:t>7.7. Atestar nota fiscal/fatura mensal em concordância com o fornecimento dos equipamentos e as condições estabelecidas no contrato, a fim de que seja efetuado o devido pagamento pelo setor.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/>
      </w:pPr>
      <w:r>
        <w:rPr>
          <w:rFonts w:cs="Verdana" w:ascii="Verdana" w:hAnsi="Verdana"/>
          <w:iCs/>
          <w:color w:val="000000"/>
          <w:sz w:val="20"/>
          <w:lang w:eastAsia="en-US"/>
        </w:rPr>
        <w:t>7.8. Fiscalizar o cumprimento das obrigações assumidas pela CONTRATADA.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/>
      </w:pPr>
      <w:r>
        <w:rPr>
          <w:rFonts w:cs="Verdana" w:ascii="Verdana" w:hAnsi="Verdana"/>
          <w:iCs/>
          <w:color w:val="000000"/>
          <w:sz w:val="20"/>
          <w:lang w:eastAsia="en-US"/>
        </w:rPr>
        <w:t>7.9. Efetuar, por escrito, solicitação de reparo/troca à CONTRATADA quando ocorrer defeito, dentro do prazo da garantia estipulada.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/>
      </w:pPr>
      <w:r>
        <w:rPr>
          <w:rFonts w:cs="Verdana" w:ascii="Verdana" w:hAnsi="Verdana"/>
          <w:color w:val="000000"/>
          <w:sz w:val="20"/>
          <w:lang w:eastAsia="en-US"/>
        </w:rPr>
        <w:t>7.10. O CONTRATANTE não responderá por quaisquer compromissos assumidos pela CONTRATADA com terceiros, ainda que vinculados à execução do presente objeto, bem como por qualquer dano causado a terceiros em decorrência de ato da CONTRATADA, de seus empregados, prepostos ou subordinados.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cs="Arial" w:ascii="Verdana" w:hAnsi="Verdana"/>
          <w:b/>
          <w:bCs/>
          <w:color w:val="000000"/>
          <w:sz w:val="20"/>
        </w:rPr>
        <w:t>8. OBRIGAÇÕES DA CONTRATADA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/>
      </w:pPr>
      <w:r>
        <w:rPr>
          <w:rFonts w:cs="Verdana" w:ascii="Verdana" w:hAnsi="Verdana"/>
          <w:iCs/>
          <w:color w:val="000000"/>
          <w:sz w:val="20"/>
          <w:lang w:eastAsia="en-US"/>
        </w:rPr>
        <w:t>8.1. Entregar/instalar o objeto de forma pessoal ou por pessoa (física ou jurídica) na qualidade de seu representante direto, não podendo transferir a terceiros, nem mesmo à Empresa Brasileira de Correios e Telégrafos, a sua execução.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/>
      </w:pPr>
      <w:r>
        <w:rPr>
          <w:rFonts w:cs="Verdana" w:ascii="Verdana" w:hAnsi="Verdana"/>
          <w:iCs/>
          <w:color w:val="000000"/>
          <w:sz w:val="20"/>
          <w:lang w:eastAsia="en-US"/>
        </w:rPr>
        <w:t>8.1.1. Valendo-se a CONTRATADA de terceiros para efetuar a entrega dos equipamentos, o CONTRATANTE, por meio de representante, poderá recusar o recebimento, sem exclusão das sanções cabíveis.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/>
      </w:pPr>
      <w:r>
        <w:rPr>
          <w:rFonts w:cs="Verdana" w:ascii="Verdana" w:hAnsi="Verdana"/>
          <w:iCs/>
          <w:color w:val="000000"/>
          <w:sz w:val="20"/>
          <w:lang w:eastAsia="en-US"/>
        </w:rPr>
        <w:t>8.2. Respeitar os prazos, condições e especificações estabelecidas neste Termo de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/>
      </w:pPr>
      <w:r>
        <w:rPr>
          <w:rFonts w:cs="Verdana" w:ascii="Verdana" w:hAnsi="Verdana"/>
          <w:iCs/>
          <w:color w:val="000000"/>
          <w:sz w:val="20"/>
          <w:lang w:eastAsia="en-US"/>
        </w:rPr>
        <w:t>Referência.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/>
      </w:pPr>
      <w:r>
        <w:rPr>
          <w:rFonts w:cs="Verdana" w:ascii="Verdana" w:hAnsi="Verdana"/>
          <w:iCs/>
          <w:color w:val="000000"/>
          <w:sz w:val="20"/>
          <w:lang w:eastAsia="en-US"/>
        </w:rPr>
        <w:t>8.3. Entregar os equipamentos acondicionados em embalagens originais, devidamente identificadas e lacradas.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/>
      </w:pPr>
      <w:r>
        <w:rPr>
          <w:rFonts w:cs="Verdana" w:ascii="Verdana" w:hAnsi="Verdana"/>
          <w:iCs/>
          <w:color w:val="000000"/>
          <w:sz w:val="20"/>
          <w:lang w:eastAsia="en-US"/>
        </w:rPr>
        <w:t>8.4. Fazer acompanhar o respectivo manual do usuário dos equipamentos com uma versão em português.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/>
      </w:pPr>
      <w:r>
        <w:rPr>
          <w:rFonts w:cs="Verdana" w:ascii="Verdana" w:hAnsi="Verdana"/>
          <w:iCs/>
          <w:color w:val="000000"/>
          <w:sz w:val="20"/>
          <w:lang w:eastAsia="en-US"/>
        </w:rPr>
        <w:t>8.5. Responsabilizar-se por eventuais danos causados aos equipamentos nos procedimentos de transporte, guarda e entrega.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/>
      </w:pPr>
      <w:r>
        <w:rPr>
          <w:rFonts w:cs="Verdana" w:ascii="Verdana" w:hAnsi="Verdana"/>
          <w:iCs/>
          <w:color w:val="000000"/>
          <w:sz w:val="20"/>
          <w:lang w:eastAsia="en-US"/>
        </w:rPr>
        <w:t>8.6. Comunicar, no prazo mínimo de 48 (quarenta e oito) horas de antecedência, a ocorrência de casos fortuitos que impeçam ou atrasem a execução do estabelecido neste Termo de Referência, no tocante à entrega dos equipamentos.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/>
      </w:pPr>
      <w:r>
        <w:rPr>
          <w:rFonts w:cs="Verdana" w:ascii="Verdana" w:hAnsi="Verdana"/>
          <w:iCs/>
          <w:color w:val="000000"/>
          <w:sz w:val="20"/>
          <w:lang w:eastAsia="en-US"/>
        </w:rPr>
        <w:t>8.7. Responsabilizar-se pelos custos referentes ao transporte e guarda dos equipamentos antes de sua entrega no local indicado.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/>
      </w:pPr>
      <w:r>
        <w:rPr>
          <w:rFonts w:cs="Verdana" w:ascii="Verdana" w:hAnsi="Verdana"/>
          <w:iCs/>
          <w:color w:val="000000"/>
          <w:sz w:val="20"/>
          <w:lang w:eastAsia="en-US"/>
        </w:rPr>
        <w:t>8.8. Manter-se, durante a vigência do contrato, todas as condições exigidas para habilitação, em observância à legislação vigente.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/>
      </w:pPr>
      <w:r>
        <w:rPr>
          <w:rFonts w:cs="Verdana" w:ascii="Verdana" w:hAnsi="Verdana"/>
          <w:iCs/>
          <w:color w:val="000000"/>
          <w:sz w:val="20"/>
          <w:lang w:eastAsia="en-US"/>
        </w:rPr>
        <w:t>8.9. Prestar esclarecimentos técnicos à secretaria requisitante no que se refere ao objeto da aquisição, sempre que solicitada.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/>
      </w:pPr>
      <w:r>
        <w:rPr>
          <w:rFonts w:cs="Verdana" w:ascii="Verdana" w:hAnsi="Verdana"/>
          <w:iCs/>
          <w:color w:val="000000"/>
          <w:sz w:val="20"/>
          <w:lang w:eastAsia="en-US"/>
        </w:rPr>
        <w:t>8.10. Responsabilizar-se integralmente pelos encargos trabalhistas, previdenciários, fiscais, comerciais e de responsabilidade civil, bem como outros encargos, taxas e impostos decorrentes da execução do contrato.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/>
      </w:pPr>
      <w:r>
        <w:rPr>
          <w:rFonts w:cs="Verdana" w:ascii="Verdana" w:hAnsi="Verdana"/>
          <w:iCs/>
          <w:color w:val="000000"/>
          <w:sz w:val="20"/>
          <w:lang w:eastAsia="en-US"/>
        </w:rPr>
        <w:t>8.11. Apresentar à requisitante, inclusive para fins de liberação do pagamento, notas fiscais de todos os equipamentos.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/>
      </w:pPr>
      <w:r>
        <w:rPr>
          <w:rFonts w:cs="Verdana" w:ascii="Verdana" w:hAnsi="Verdana"/>
          <w:iCs/>
          <w:color w:val="000000"/>
          <w:sz w:val="20"/>
          <w:lang w:eastAsia="en-US"/>
        </w:rPr>
        <w:t>8.12. Responsabilizar-se pelos ônus resultantes de quaisquer ações, demandas, custos e despesas decorrentes de danos ocorridos por dolo ou culpa sua ou de qualquer de seus empregados e pressupostos, obrigando-se igualmente por quaisquer responsabilidades decorrentes de ações judiciais movidas por terceiros, que lhe venham a ser exigida por força de Lei.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/>
      </w:pPr>
      <w:r>
        <w:rPr>
          <w:rFonts w:cs="Verdana" w:ascii="Verdana" w:hAnsi="Verdana"/>
          <w:iCs/>
          <w:color w:val="000000"/>
          <w:sz w:val="20"/>
          <w:lang w:eastAsia="en-US"/>
        </w:rPr>
        <w:t>8.13. Que sejam observados os requisitos ambientais para a obtenção de certificação do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/>
      </w:pPr>
      <w:r>
        <w:rPr>
          <w:rFonts w:cs="Verdana" w:ascii="Verdana" w:hAnsi="Verdana"/>
          <w:iCs/>
          <w:color w:val="000000"/>
          <w:sz w:val="20"/>
          <w:lang w:eastAsia="en-US"/>
        </w:rPr>
        <w:t>Instituto Nacional de Metrologia, Normalização e Qualidade Industrial – INMETRO, como produtos sustentáveis ou de menor impacto ambiental em relação aos seus similares.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/>
      </w:pPr>
      <w:r>
        <w:rPr>
          <w:rFonts w:cs="Verdana" w:ascii="Verdana" w:hAnsi="Verdana"/>
          <w:iCs/>
          <w:color w:val="000000"/>
          <w:sz w:val="20"/>
          <w:lang w:eastAsia="en-US"/>
        </w:rPr>
        <w:t>8.14. Que os bens devam ser, preferencialmente, acondicionados em embalagem individual adequada, com o menor volume possível, que utilize materiais recicláveis, de forma a garantir a máxima proteção durante o transporte e o armazenamento.</w:t>
      </w:r>
    </w:p>
    <w:p>
      <w:pPr>
        <w:pStyle w:val="Normal"/>
        <w:tabs>
          <w:tab w:val="clear" w:pos="708"/>
          <w:tab w:val="left" w:pos="0" w:leader="none"/>
        </w:tabs>
        <w:spacing w:lineRule="auto" w:line="276" w:before="57" w:after="57"/>
        <w:ind w:hanging="0" w:left="0" w:right="0"/>
        <w:rPr>
          <w:rFonts w:ascii="Verdana" w:hAnsi="Verdana" w:cs="Arial"/>
          <w:b/>
          <w:sz w:val="20"/>
          <w:u w:val="single"/>
        </w:rPr>
      </w:pPr>
      <w:r>
        <w:rPr>
          <w:rFonts w:cs="Arial" w:ascii="Verdana" w:hAnsi="Verdana"/>
          <w:b/>
          <w:sz w:val="20"/>
          <w:u w:val="single"/>
        </w:rPr>
      </w:r>
    </w:p>
    <w:p>
      <w:pPr>
        <w:pStyle w:val="Normal"/>
        <w:tabs>
          <w:tab w:val="clear" w:pos="708"/>
          <w:tab w:val="left" w:pos="0" w:leader="none"/>
        </w:tabs>
        <w:spacing w:lineRule="auto" w:line="276" w:before="57" w:after="57"/>
        <w:ind w:hanging="0" w:left="0" w:right="0"/>
        <w:rPr/>
      </w:pPr>
      <w:r>
        <w:rPr>
          <w:rFonts w:cs="Arial" w:ascii="Verdana" w:hAnsi="Verdana"/>
          <w:b/>
          <w:bCs/>
          <w:sz w:val="20"/>
        </w:rPr>
        <w:t>9. RESULTADOS PRETENDIDOS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cs="Arial" w:ascii="Verdana" w:hAnsi="Verdana"/>
          <w:sz w:val="20"/>
        </w:rPr>
        <w:t xml:space="preserve">9.1. Os resultados pretendidos com a contratação tem como objetivo garantir melhor comodidade aos usuários e proteção de portas e janelas da incidência de chuva e sol. </w:t>
      </w:r>
    </w:p>
    <w:p>
      <w:pPr>
        <w:pStyle w:val="Normal"/>
        <w:tabs>
          <w:tab w:val="clear" w:pos="708"/>
          <w:tab w:val="left" w:pos="212" w:leader="none"/>
        </w:tabs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u w:val="single"/>
        </w:rPr>
      </w:pPr>
      <w:r>
        <w:rPr>
          <w:rFonts w:cs="Arial" w:ascii="Verdana" w:hAnsi="Verdana"/>
          <w:b/>
          <w:sz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cs="Arial" w:ascii="Verdana" w:hAnsi="Verdana"/>
          <w:b/>
          <w:bCs/>
          <w:sz w:val="20"/>
        </w:rPr>
        <w:t>10. REGULARIDADE FISCAL E TRABALHISTA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cs="Arial" w:ascii="Verdana" w:hAnsi="Verdana"/>
          <w:sz w:val="20"/>
        </w:rPr>
        <w:t>10.1. Cópia de inscrição no Cadastro de Pessoas Jurídicas – CNPJ.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cs="Arial" w:ascii="Verdana" w:hAnsi="Verdana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cs="Arial" w:ascii="Verdana" w:hAnsi="Verdana"/>
          <w:sz w:val="20"/>
        </w:rPr>
        <w:t xml:space="preserve">10.3. Prova de regularidade com a Fazenda Estadual, que poderá ser solicitada no site </w:t>
      </w:r>
      <w:hyperlink r:id="rId2">
        <w:r>
          <w:rPr>
            <w:rStyle w:val="ListLabel1"/>
            <w:rFonts w:cs="Arial" w:ascii="Verdana" w:hAnsi="Verdana"/>
            <w:color w:val="000000"/>
            <w:sz w:val="20"/>
          </w:rPr>
          <w:t>https://internet.sefaz.es.gov.br</w:t>
        </w:r>
      </w:hyperlink>
      <w:r>
        <w:rPr>
          <w:rFonts w:cs="Arial" w:ascii="Verdana" w:hAnsi="Verdana"/>
          <w:color w:val="000000"/>
          <w:sz w:val="20"/>
        </w:rPr>
        <w:t>;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cs="Arial" w:ascii="Verdana" w:hAnsi="Verdana"/>
          <w:sz w:val="20"/>
        </w:rPr>
        <w:t>10.4. Prova de regularidade com a Fazenda Pública Municipal referente ao domicílio do interessado.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cs="Arial" w:ascii="Verdana" w:hAnsi="Verdana"/>
          <w:sz w:val="20"/>
        </w:rPr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3">
        <w:r>
          <w:rPr>
            <w:rStyle w:val="Hyperlink"/>
            <w:rFonts w:cs="Arial" w:ascii="Verdana" w:hAnsi="Verdana"/>
            <w:color w:val="auto"/>
            <w:sz w:val="20"/>
          </w:rPr>
          <w:t>http://www.tst.jus.br</w:t>
        </w:r>
      </w:hyperlink>
      <w:r>
        <w:rPr>
          <w:rFonts w:cs="Arial" w:ascii="Verdana" w:hAnsi="Verdana"/>
          <w:sz w:val="20"/>
        </w:rPr>
        <w:t>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sz w:val="20"/>
        </w:rPr>
      </w:pPr>
      <w:r>
        <w:rPr>
          <w:rFonts w:cs="Arial" w:ascii="Verdana" w:hAnsi="Verdana"/>
          <w:sz w:val="20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cs="Arial" w:ascii="Verdana" w:hAnsi="Verdana"/>
          <w:b/>
          <w:bCs/>
          <w:sz w:val="20"/>
        </w:rPr>
        <w:t>11. DAS SANÇÕES ADMINISTRATIVAS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.1.1. Dar causa à inexecução parcial do contrato.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.1.3. Dar causa à inexecução total;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.1.4. Deixar de entregar a documentação exigida para o certame.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.1.8. Apresentar declaração ou documentação falsa exigida para o certame ou prestar declaração falsa durante O CERTAME ou a execução do objeto.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iCs/>
          <w:sz w:val="20"/>
        </w:rPr>
        <w:t>11.1.9. Fraudar o certame ou praticar ato fraudulento na execução do objeto.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.1.10. Comportar-se de modo inidôneo ou cometer fraude de qualquer natureza.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do certame, mesmo após o encerramento da fase de lances.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.1.11. Praticar atos ilícitos com vistas a frustrar os objetivos deste certame.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iCs/>
          <w:color w:val="000000"/>
          <w:sz w:val="20"/>
        </w:rPr>
        <w:t>11.1.13.</w:t>
      </w:r>
      <w:r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iCs/>
          <w:sz w:val="20"/>
        </w:rPr>
        <w:tab/>
        <w:t>a) Advertência pela falta do subitem 11.1.1 deste Termo de Referência, quando não se justificar a imposição de penalidade mais grave.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iCs/>
          <w:sz w:val="20"/>
        </w:rPr>
        <w:tab/>
        <w:t xml:space="preserve">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iCs/>
          <w:sz w:val="20"/>
        </w:rPr>
        <w:tab/>
        <w:tab/>
        <w:t>b.1) O valor da multa poderá ser descontado das faturas devidas à CONTRATADA;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iCs/>
          <w:sz w:val="20"/>
        </w:rPr>
        <w:tab/>
        <w:tab/>
        <w:t xml:space="preserve">b.2) A multa pode ser aplicada isoladamente ou junto as penalidades definidas nos itens “c” e “d” abaixo: 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iCs/>
          <w:sz w:val="20"/>
        </w:rPr>
        <w:tab/>
        <w:t>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iCs/>
          <w:sz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.3. Na aplicação das sanções serão considerados: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.3.1. A natureza e a gravidade da infração cometida.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iCs/>
          <w:sz w:val="20"/>
        </w:rPr>
        <w:t>11.3.2. As peculiaridades do caso concreto.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iCs/>
          <w:sz w:val="20"/>
        </w:rPr>
        <w:t>11.3.3. As circunstâncias agravantes ou atenuantes.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iCs/>
          <w:sz w:val="20"/>
        </w:rPr>
        <w:t>11.3.4. Os danos que dela provierem para a Administração Pública.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iCs/>
          <w:color w:val="000000"/>
          <w:sz w:val="20"/>
        </w:rPr>
        <w:t>11</w:t>
      </w:r>
      <w:r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u w:val="single"/>
        </w:rPr>
      </w:pPr>
      <w:r>
        <w:rPr>
          <w:rFonts w:cs="Arial" w:ascii="Verdana" w:hAnsi="Verdana"/>
          <w:b/>
          <w:sz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b/>
          <w:bCs/>
          <w:sz w:val="20"/>
          <w:lang w:eastAsia="en-US"/>
        </w:rPr>
        <w:t>12. DA HABILITAÇÃO</w:t>
      </w:r>
      <w:r>
        <w:rPr>
          <w:rFonts w:ascii="Verdana" w:hAnsi="Verdana"/>
          <w:sz w:val="20"/>
          <w:lang w:eastAsia="en-US"/>
        </w:rPr>
        <w:t xml:space="preserve"> 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cs="Verdana" w:ascii="Verdana" w:hAnsi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>
      <w:pPr>
        <w:pStyle w:val="ListParagraph"/>
        <w:spacing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sz w:val="20"/>
          <w:szCs w:val="20"/>
          <w:lang w:eastAsia="ar-SA"/>
        </w:rPr>
        <w:t>a) SICAF;</w:t>
      </w:r>
    </w:p>
    <w:p>
      <w:pPr>
        <w:pStyle w:val="ListParagraph"/>
        <w:spacing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sz w:val="20"/>
          <w:szCs w:val="20"/>
          <w:lang w:eastAsia="ar-SA"/>
        </w:rPr>
        <w:t xml:space="preserve">b) Cadastro Nacional de Empresas Inidôneas e Suspensas – CEIS, mantido pela </w:t>
      </w:r>
      <w:r>
        <w:rPr>
          <w:rFonts w:cs="Verdana" w:ascii="Verdana" w:hAnsi="Verdana"/>
          <w:color w:val="000000"/>
          <w:sz w:val="20"/>
          <w:szCs w:val="20"/>
          <w:lang w:eastAsia="ar-SA"/>
        </w:rPr>
        <w:t>Controladoria-Geral da União (</w:t>
      </w:r>
      <w:hyperlink r:id="rId4">
        <w:r>
          <w:rPr>
            <w:rStyle w:val="ListLabel3"/>
            <w:rFonts w:cs="Verdana" w:ascii="Verdana" w:hAnsi="Verdana"/>
            <w:color w:val="000000"/>
            <w:sz w:val="20"/>
            <w:szCs w:val="20"/>
            <w:lang w:eastAsia="ar-SA"/>
          </w:rPr>
          <w:t>www.portaldatransparencia.gov.br/ceis</w:t>
        </w:r>
      </w:hyperlink>
      <w:r>
        <w:rPr>
          <w:rFonts w:cs="Verdana" w:ascii="Verdana" w:hAnsi="Verdana"/>
          <w:color w:val="000000"/>
          <w:sz w:val="20"/>
          <w:szCs w:val="20"/>
          <w:lang w:eastAsia="ar-SA"/>
        </w:rPr>
        <w:t>);</w:t>
      </w:r>
    </w:p>
    <w:p>
      <w:pPr>
        <w:pStyle w:val="ListParagraph"/>
        <w:spacing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color w:val="000000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5">
        <w:r>
          <w:rPr>
            <w:rStyle w:val="ListLabel3"/>
            <w:rFonts w:cs="Verdana" w:ascii="Verdana" w:hAnsi="Verdana"/>
            <w:color w:val="000000"/>
            <w:sz w:val="20"/>
            <w:szCs w:val="20"/>
            <w:lang w:eastAsia="ar-SA"/>
          </w:rPr>
          <w:t>www.cnj.jus.br/improbidade_adm/consultar_requerido.php</w:t>
        </w:r>
      </w:hyperlink>
      <w:r>
        <w:rPr>
          <w:rFonts w:cs="Verdana" w:ascii="Verdana" w:hAnsi="Verdana"/>
          <w:color w:val="000000"/>
          <w:sz w:val="20"/>
          <w:szCs w:val="20"/>
          <w:lang w:eastAsia="ar-SA"/>
        </w:rPr>
        <w:t>).</w:t>
      </w:r>
    </w:p>
    <w:p>
      <w:pPr>
        <w:pStyle w:val="ListParagraph"/>
        <w:spacing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color w:val="000000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cs="Verdana" w:ascii="Verdana" w:hAnsi="Verdana"/>
          <w:color w:val="000000"/>
          <w:sz w:val="20"/>
          <w:lang w:eastAsia="ar-SA"/>
        </w:rPr>
        <w:t>e) Cadastro de empresas inid</w:t>
      </w:r>
      <w:r>
        <w:rPr>
          <w:rFonts w:cs="Verdana" w:ascii="Verdana" w:hAnsi="Verdana"/>
          <w:color w:val="000000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6">
        <w:r>
          <w:rPr>
            <w:rStyle w:val="ListLabel4"/>
            <w:rFonts w:cs="Verdana" w:ascii="Verdana" w:hAnsi="Verdana"/>
            <w:color w:val="000000"/>
            <w:sz w:val="20"/>
          </w:rPr>
          <w:t>https://www.tcees.tc.br/portal-da-transparencia/consultas/lista-de</w:t>
        </w:r>
      </w:hyperlink>
      <w:r>
        <w:rPr>
          <w:rFonts w:cs="Verdana" w:ascii="Verdana" w:hAnsi="Verdana"/>
          <w:color w:val="000000"/>
          <w:sz w:val="20"/>
        </w:rPr>
        <w:t xml:space="preserve"> responsáveis/proibidos-de-contratar/).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cs="Verdana" w:ascii="Verdana" w:hAnsi="Verdana"/>
          <w:color w:val="000000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7">
        <w:r>
          <w:rPr>
            <w:rStyle w:val="ListLabel5"/>
            <w:rFonts w:cs="Verdana" w:ascii="Verdana" w:hAnsi="Verdana"/>
            <w:color w:val="000000"/>
            <w:sz w:val="20"/>
            <w:lang w:eastAsia="ar-SA"/>
          </w:rPr>
          <w:t>https://certidoesapf.apps.tcu.gov.br/</w:t>
        </w:r>
      </w:hyperlink>
      <w:r>
        <w:rPr>
          <w:rFonts w:cs="Verdana" w:ascii="Verdana" w:hAnsi="Verdana"/>
          <w:color w:val="000000"/>
          <w:sz w:val="20"/>
          <w:lang w:eastAsia="ar-SA"/>
        </w:rPr>
        <w:t>);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cs="Verdana" w:ascii="Verdana" w:hAnsi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color w:val="000000"/>
          <w:sz w:val="20"/>
          <w:szCs w:val="20"/>
        </w:rPr>
        <w:t>12.1.2.3. O licitante será convocado para manifestação previamente à sua desclassificação.</w:t>
      </w:r>
    </w:p>
    <w:p>
      <w:pPr>
        <w:pStyle w:val="ListParagraph"/>
        <w:spacing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color w:val="000000"/>
          <w:sz w:val="20"/>
          <w:szCs w:val="20"/>
        </w:rPr>
        <w:t>12.1.3. Constatada a existência de sanção, o Pregoeiro reputará o licitante inabilitado, por falta de condição de participação.</w:t>
      </w:r>
    </w:p>
    <w:p>
      <w:pPr>
        <w:pStyle w:val="ListParagraph"/>
        <w:spacing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>
      <w:pPr>
        <w:pStyle w:val="ListParagraph"/>
        <w:tabs>
          <w:tab w:val="clear" w:pos="708"/>
          <w:tab w:val="left" w:pos="567" w:leader="none"/>
        </w:tabs>
        <w:spacing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sz w:val="20"/>
          <w:szCs w:val="20"/>
          <w:lang w:eastAsia="ar-SA"/>
        </w:rPr>
        <w:t xml:space="preserve">12.2. </w:t>
      </w:r>
      <w:r>
        <w:rPr>
          <w:rFonts w:cs="Verdana" w:ascii="Verdana" w:hAnsi="Verdana"/>
          <w:color w:val="000000"/>
          <w:sz w:val="20"/>
          <w:szCs w:val="20"/>
        </w:rPr>
        <w:t xml:space="preserve">Caso atendidas as condições de participação, </w:t>
      </w:r>
      <w:r>
        <w:rPr>
          <w:rFonts w:cs="Verdana" w:ascii="Verdana" w:hAnsi="Verdana"/>
          <w:sz w:val="20"/>
          <w:szCs w:val="20"/>
        </w:rPr>
        <w:t>a habilitação dos licitantes será verificada por meio do SICAF, nos documentos por ele abrangidos</w:t>
      </w:r>
      <w:r>
        <w:rPr>
          <w:rFonts w:cs="Verdana" w:ascii="Verdana" w:hAnsi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>
      <w:pPr>
        <w:pStyle w:val="ListParagraph"/>
        <w:spacing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sz w:val="20"/>
          <w:szCs w:val="20"/>
          <w:lang w:eastAsia="ar-SA"/>
        </w:rPr>
        <w:t>12.2.1.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>
      <w:pPr>
        <w:pStyle w:val="ListParagraph"/>
        <w:spacing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>
      <w:pPr>
        <w:pStyle w:val="ListParagraph"/>
        <w:spacing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color w:val="000000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>
      <w:pPr>
        <w:pStyle w:val="ListParagraph"/>
        <w:spacing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color w:val="000000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>
      <w:pPr>
        <w:pStyle w:val="ListParagraph"/>
        <w:spacing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sz w:val="20"/>
          <w:szCs w:val="20"/>
        </w:rPr>
        <w:t>12.4. Somente haverá a necessidade de comprovação do preenchimento de requisitos mediante apresentação dos documentos originais não-digitais quando houver dúvida em relação à integridade do documento digital.</w:t>
      </w:r>
    </w:p>
    <w:p>
      <w:pPr>
        <w:pStyle w:val="ListParagraph"/>
        <w:spacing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sz w:val="20"/>
          <w:szCs w:val="20"/>
        </w:rPr>
        <w:t>12.5. Não serão aceitos documentos de habilitação com indicação de CNPJ/CPF diferentes, salvo aqueles legalmente permitidos.</w:t>
      </w:r>
    </w:p>
    <w:p>
      <w:pPr>
        <w:pStyle w:val="ListParagraph"/>
        <w:spacing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sz w:val="20"/>
          <w:szCs w:val="20"/>
        </w:rPr>
        <w:t>12.6. Serão aceitos registros de CNPJ de licitante matriz e filial com diferenças de números de documentos pertinentes ao CND e ao CRF/FGTS, quando for comprovada a centralização do recolhimento dessas contribuições.</w:t>
      </w:r>
    </w:p>
    <w:p>
      <w:pPr>
        <w:pStyle w:val="PADRO"/>
        <w:widowControl/>
        <w:tabs>
          <w:tab w:val="clear" w:pos="708"/>
          <w:tab w:val="left" w:pos="567" w:leader="none"/>
        </w:tabs>
        <w:spacing w:before="57" w:after="57"/>
        <w:ind w:hanging="0" w:left="0" w:right="0"/>
        <w:rPr/>
      </w:pPr>
      <w:r>
        <w:rPr>
          <w:rFonts w:cs="Verdana" w:ascii="Verdana" w:hAnsi="Verdana"/>
          <w:color w:val="000000"/>
          <w:sz w:val="20"/>
          <w:szCs w:val="20"/>
        </w:rPr>
        <w:t>12.7. Os licitantes deverão encaminhar, nos termos deste Edital, a documentação relacionada nos itens a seguir, para fins de habilitação:</w:t>
      </w:r>
    </w:p>
    <w:p>
      <w:pPr>
        <w:pStyle w:val="ListParagraph"/>
        <w:spacing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b/>
          <w:bCs/>
          <w:color w:val="000000"/>
          <w:sz w:val="20"/>
          <w:szCs w:val="20"/>
        </w:rPr>
        <w:t>12.8. Habilitação jurídica:</w:t>
      </w:r>
    </w:p>
    <w:p>
      <w:pPr>
        <w:pStyle w:val="ListParagraph"/>
        <w:spacing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color w:val="000000"/>
          <w:sz w:val="20"/>
          <w:szCs w:val="20"/>
        </w:rPr>
        <w:t>12.8.1. No caso de empresário individual: inscrição no Registro Público de Empresas Mercantis, a cargo da Junta Comercial da respectiva sede;</w:t>
      </w:r>
    </w:p>
    <w:p>
      <w:pPr>
        <w:pStyle w:val="ListParagraph"/>
        <w:spacing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color w:val="000000"/>
          <w:sz w:val="20"/>
          <w:szCs w:val="20"/>
        </w:rPr>
        <w:t>12.8.2. Em se tratando de microempreendedor individual – MEI: Certificado da Condição de Microempreendedor Individual – CCMEI, cuja aceitação ficará condicionada à verificação da autenticidade no síti</w:t>
      </w:r>
      <w:r>
        <w:rPr>
          <w:rFonts w:cs="Verdana" w:ascii="Verdana" w:hAnsi="Verdana"/>
          <w:color w:val="000000"/>
          <w:sz w:val="20"/>
          <w:szCs w:val="20"/>
          <w:u w:val="single"/>
        </w:rPr>
        <w:t xml:space="preserve">o </w:t>
      </w:r>
      <w:hyperlink r:id="rId8">
        <w:r>
          <w:rPr>
            <w:rStyle w:val="ListLabel6"/>
            <w:rFonts w:cs="Verdana" w:ascii="Verdana" w:hAnsi="Verdana"/>
            <w:color w:val="000000"/>
            <w:sz w:val="20"/>
            <w:szCs w:val="20"/>
            <w:u w:val="single"/>
          </w:rPr>
          <w:t>www.portaldoempreendedor.gov.br</w:t>
        </w:r>
      </w:hyperlink>
      <w:r>
        <w:rPr>
          <w:rFonts w:cs="Verdana" w:ascii="Verdana" w:hAnsi="Verdana"/>
          <w:color w:val="000000"/>
          <w:sz w:val="20"/>
          <w:szCs w:val="20"/>
          <w:u w:val="single"/>
        </w:rPr>
        <w:t>;</w:t>
      </w:r>
    </w:p>
    <w:p>
      <w:pPr>
        <w:pStyle w:val="ListParagraph"/>
        <w:spacing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color w:val="000000"/>
          <w:sz w:val="20"/>
          <w:szCs w:val="20"/>
        </w:rPr>
        <w:t>12.8.3.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>
      <w:pPr>
        <w:pStyle w:val="ListParagraph"/>
        <w:spacing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color w:val="000000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>
      <w:pPr>
        <w:pStyle w:val="ListParagraph"/>
        <w:spacing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color w:val="000000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>
      <w:pPr>
        <w:pStyle w:val="ListParagraph"/>
        <w:spacing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color w:val="000000"/>
          <w:sz w:val="20"/>
          <w:szCs w:val="20"/>
        </w:rPr>
        <w:t>12.8.6.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>
      <w:pPr>
        <w:pStyle w:val="ListParagraph"/>
        <w:spacing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color w:val="000000"/>
          <w:sz w:val="20"/>
          <w:szCs w:val="20"/>
        </w:rPr>
        <w:t>12.8.7. No caso de empresa ou sociedade estrangeira em funcionamento no País: decreto de autorização;</w:t>
      </w:r>
    </w:p>
    <w:p>
      <w:pPr>
        <w:pStyle w:val="ListParagraph"/>
        <w:spacing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color w:val="000000"/>
          <w:sz w:val="20"/>
          <w:szCs w:val="20"/>
        </w:rPr>
        <w:t xml:space="preserve">12.8.8. </w:t>
      </w:r>
      <w:r>
        <w:rPr>
          <w:rFonts w:cs="Verdana" w:ascii="Verdana" w:hAnsi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>
      <w:pPr>
        <w:pStyle w:val="ListParagraph"/>
        <w:spacing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b/>
          <w:color w:val="000000"/>
          <w:sz w:val="20"/>
          <w:szCs w:val="20"/>
        </w:rPr>
        <w:t>12.09. Qualificação Econômico-Financeira</w:t>
      </w:r>
      <w:r>
        <w:rPr>
          <w:rFonts w:cs="Verdana" w:ascii="Verdana" w:hAnsi="Verdana"/>
          <w:color w:val="000000"/>
          <w:sz w:val="20"/>
          <w:szCs w:val="20"/>
        </w:rPr>
        <w:t>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/>
      </w:pPr>
      <w:r>
        <w:rPr>
          <w:rFonts w:cs="Verdana" w:ascii="Verdana" w:hAnsi="Verdana"/>
          <w:color w:val="000000"/>
          <w:sz w:val="20"/>
        </w:rPr>
        <w:t>12.9.1. Certidão negativa de falência, recuperação judicial e extrajudicial, expedida pelo cartório distribuidor da sede da Licitante ou por meio digital, emitida em até 30 (trinta) dias anteriores à data de abertura do certame.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/>
      </w:pPr>
      <w:r>
        <w:rPr>
          <w:rFonts w:cs="Verdana" w:ascii="Verdana" w:hAnsi="Verdana"/>
          <w:color w:val="000000"/>
          <w:sz w:val="20"/>
        </w:rPr>
        <w:t>12.9.2. Havendo algum prazo de validade estabelecido por cartório na certidão citada na letra anterior, será considerado o prazo constante da certidão para comprovação da sua validade.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/>
      </w:pPr>
      <w:r>
        <w:rPr>
          <w:rFonts w:cs="Verdana" w:ascii="Verdana" w:hAnsi="Verdana"/>
          <w:sz w:val="20"/>
        </w:rPr>
        <w:t>12.9.3. Para a contagem do prazo estabelecido na letra “a” deste capítulo, será contado a partir do primeiro dia que antecede a data da realização do certame.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/>
      </w:pPr>
      <w:r>
        <w:rPr>
          <w:rFonts w:cs="Verdana" w:ascii="Verdana" w:hAnsi="Verdana"/>
          <w:iCs/>
          <w:color w:val="000000"/>
          <w:sz w:val="20"/>
          <w:lang w:eastAsia="en-US"/>
        </w:rPr>
        <w:t>12.9.4.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>
      <w:pPr>
        <w:pStyle w:val="Normal"/>
        <w:tabs>
          <w:tab w:val="clear" w:pos="708"/>
          <w:tab w:val="left" w:pos="850" w:leader="none"/>
        </w:tabs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u w:val="single"/>
        </w:rPr>
      </w:pPr>
      <w:r>
        <w:rPr>
          <w:rFonts w:cs="Arial" w:ascii="Verdana" w:hAnsi="Verdana"/>
          <w:b/>
          <w:sz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b/>
          <w:bCs/>
          <w:sz w:val="20"/>
        </w:rPr>
        <w:t>13. CRITÉRIOS DE PAGAMENTO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r>
        <w:fldChar w:fldCharType="begin"/>
      </w:r>
      <w:r>
        <w:rPr>
          <w:rStyle w:val="ListLabel7"/>
          <w:sz w:val="20"/>
          <w:rFonts w:ascii="Verdana" w:hAnsi="Verdana"/>
          <w:color w:val="000000"/>
        </w:rPr>
        <w:instrText xml:space="preserve"> HYPERLINK "http://www.planalto.gov.br/ccivil_03/_ato2019-2022/2021/lei/L14133.htm" \l "art75"</w:instrText>
      </w:r>
      <w:r>
        <w:rPr>
          <w:rStyle w:val="ListLabel7"/>
          <w:sz w:val="20"/>
          <w:rFonts w:ascii="Verdana" w:hAnsi="Verdana"/>
          <w:color w:val="000000"/>
        </w:rPr>
        <w:fldChar w:fldCharType="separate"/>
      </w:r>
      <w:r>
        <w:rPr>
          <w:rStyle w:val="ListLabel7"/>
          <w:rFonts w:ascii="Verdana" w:hAnsi="Verdana"/>
          <w:color w:val="000000"/>
          <w:sz w:val="20"/>
        </w:rPr>
        <w:t>inciso II do art. 75 da Lei nº 14.133, de 2021</w:t>
      </w:r>
      <w:r>
        <w:rPr>
          <w:rStyle w:val="ListLabel7"/>
          <w:sz w:val="20"/>
          <w:rFonts w:ascii="Verdana" w:hAnsi="Verdana"/>
          <w:color w:val="000000"/>
        </w:rPr>
        <w:fldChar w:fldCharType="end"/>
      </w:r>
      <w:r>
        <w:rPr>
          <w:rFonts w:ascii="Verdana" w:hAnsi="Verdana"/>
          <w:color w:val="000000"/>
          <w:sz w:val="20"/>
        </w:rPr>
        <w:t>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563" w:leader="none"/>
        </w:tabs>
        <w:spacing w:lineRule="auto" w:line="276" w:before="57" w:after="57"/>
        <w:jc w:val="both"/>
        <w:rPr/>
      </w:pPr>
      <w:r>
        <w:rPr>
          <w:rFonts w:ascii="Verdana" w:hAnsi="Verdana"/>
          <w:sz w:val="20"/>
        </w:rPr>
        <w:t>O prazo de validade;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563" w:leader="none"/>
        </w:tabs>
        <w:spacing w:lineRule="auto" w:line="276" w:before="57" w:after="57"/>
        <w:jc w:val="both"/>
        <w:rPr/>
      </w:pPr>
      <w:r>
        <w:rPr>
          <w:rFonts w:ascii="Verdana" w:hAnsi="Verdana"/>
          <w:sz w:val="20"/>
        </w:rPr>
        <w:t xml:space="preserve">A data da emissão;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563" w:leader="none"/>
        </w:tabs>
        <w:spacing w:lineRule="auto" w:line="276" w:before="57" w:after="57"/>
        <w:jc w:val="both"/>
        <w:rPr/>
      </w:pPr>
      <w:r>
        <w:rPr>
          <w:rFonts w:ascii="Verdana" w:hAnsi="Verdana"/>
          <w:sz w:val="20"/>
        </w:rPr>
        <w:t xml:space="preserve">Os dados do contrato e do órgão contratante;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563" w:leader="none"/>
        </w:tabs>
        <w:spacing w:lineRule="auto" w:line="276" w:before="57" w:after="57"/>
        <w:jc w:val="both"/>
        <w:rPr/>
      </w:pPr>
      <w:r>
        <w:rPr>
          <w:rFonts w:ascii="Verdana" w:hAnsi="Verdana"/>
          <w:sz w:val="20"/>
        </w:rPr>
        <w:t xml:space="preserve">O período respectivo de execução do contrato;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563" w:leader="none"/>
        </w:tabs>
        <w:spacing w:lineRule="auto" w:line="276" w:before="57" w:after="57"/>
        <w:jc w:val="both"/>
        <w:rPr/>
      </w:pPr>
      <w:r>
        <w:rPr>
          <w:rFonts w:ascii="Verdana" w:hAnsi="Verdana"/>
          <w:sz w:val="20"/>
        </w:rPr>
        <w:t xml:space="preserve">O valor a pagar; e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563" w:leader="none"/>
        </w:tabs>
        <w:spacing w:lineRule="auto" w:line="276" w:before="57" w:after="57"/>
        <w:jc w:val="both"/>
        <w:rPr/>
      </w:pPr>
      <w:r>
        <w:rPr>
          <w:rFonts w:ascii="Verdana" w:hAnsi="Verdana"/>
          <w:sz w:val="20"/>
        </w:rPr>
        <w:t>Eventual destaque do valor de retenções tributárias cabíveis.</w:t>
      </w:r>
    </w:p>
    <w:p>
      <w:pPr>
        <w:pStyle w:val="Normal"/>
        <w:tabs>
          <w:tab w:val="clear" w:pos="708"/>
          <w:tab w:val="left" w:pos="0" w:leader="none"/>
          <w:tab w:val="left" w:pos="563" w:leader="none"/>
        </w:tabs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>
      <w:pPr>
        <w:pStyle w:val="Normal"/>
        <w:tabs>
          <w:tab w:val="clear" w:pos="708"/>
          <w:tab w:val="left" w:pos="109" w:leader="none"/>
        </w:tabs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sz w:val="20"/>
        </w:rPr>
        <w:t>13.5. A</w:t>
      </w:r>
      <w:r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>
        <w:rPr>
          <w:rStyle w:val="InternetLink"/>
          <w:rFonts w:ascii="Verdana" w:hAnsi="Verdana"/>
          <w:sz w:val="20"/>
          <w:lang w:eastAsia="en-US"/>
        </w:rPr>
        <w:t>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sz w:val="20"/>
        </w:rPr>
        <w:t>13.9. Quando do pagamento, será efetuada a retenção tributária prevista na legislação aplicável.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9">
        <w:r>
          <w:rPr>
            <w:rStyle w:val="ListLabel8"/>
            <w:rFonts w:ascii="Verdana" w:hAnsi="Verdana"/>
            <w:sz w:val="20"/>
            <w:lang w:eastAsia="en-US"/>
          </w:rPr>
          <w:t>Lei Complementar nº 123, de 2006</w:t>
        </w:r>
      </w:hyperlink>
      <w:r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sz w:val="20"/>
          <w:lang w:eastAsia="en-US"/>
        </w:rPr>
        <w:t>13.11. Conforme Decreto Municipal nº 3.86/2023 será retido o Imposto de Renda na Fonte nos pagamentos efetuados por Órgãos, Autarquias e Fundações instituídas e mantidas pelo Município de São Gabriel da Palha a pessoas jurídicas pelo fornecimento de bens e prestação de serviços.</w:t>
      </w:r>
    </w:p>
    <w:p>
      <w:pPr>
        <w:pStyle w:val="ListParagraph"/>
        <w:tabs>
          <w:tab w:val="clear" w:pos="708"/>
          <w:tab w:val="left" w:pos="518" w:leader="none"/>
        </w:tabs>
        <w:spacing w:before="57" w:after="57"/>
        <w:ind w:hanging="0" w:left="0" w:right="0"/>
        <w:contextualSpacing w:val="false"/>
        <w:jc w:val="both"/>
        <w:rPr/>
      </w:pPr>
      <w:r>
        <w:rPr>
          <w:rFonts w:ascii="Verdana" w:hAnsi="Verdana"/>
          <w:color w:val="000000"/>
          <w:sz w:val="20"/>
          <w:szCs w:val="20"/>
        </w:rPr>
        <w:t xml:space="preserve">13.11. </w:t>
      </w:r>
      <w:r>
        <w:rPr>
          <w:rFonts w:ascii="Verdana" w:hAnsi="Verdana"/>
          <w:sz w:val="20"/>
          <w:szCs w:val="20"/>
        </w:rPr>
        <w:t>Após o prazo acima referenciado, será paga multa financeira nos seguintes termos:</w:t>
      </w:r>
    </w:p>
    <w:p>
      <w:pPr>
        <w:pStyle w:val="ListParagraph"/>
        <w:tabs>
          <w:tab w:val="clear" w:pos="708"/>
          <w:tab w:val="left" w:pos="518" w:leader="none"/>
        </w:tabs>
        <w:spacing w:before="57" w:after="57"/>
        <w:ind w:hanging="0" w:left="0" w:right="0"/>
        <w:contextualSpacing w:val="false"/>
        <w:jc w:val="both"/>
        <w:rPr/>
      </w:pPr>
      <w:r>
        <w:rPr>
          <w:rFonts w:cs="Verdana" w:ascii="Verdana" w:hAnsi="Verdana"/>
          <w:sz w:val="20"/>
          <w:szCs w:val="20"/>
        </w:rPr>
        <w:tab/>
        <w:tab/>
        <w:tab/>
        <w:tab/>
        <w:tab/>
        <w:tab/>
        <w:t xml:space="preserve">  VM = VF </w:t>
      </w:r>
      <w:r>
        <w:rPr>
          <w:rFonts w:cs="Verdana" w:ascii="Verdana" w:hAnsi="Verdana"/>
          <w:sz w:val="20"/>
          <w:szCs w:val="20"/>
          <w:vertAlign w:val="subscript"/>
        </w:rPr>
        <w:t>*</w:t>
      </w:r>
      <w:r>
        <w:rPr>
          <w:rFonts w:cs="Verdana" w:ascii="Verdana" w:hAnsi="Verdana"/>
          <w:sz w:val="20"/>
          <w:szCs w:val="20"/>
        </w:rPr>
        <w:t xml:space="preserve"> </w:t>
      </w:r>
      <w:r>
        <w:rPr>
          <w:rFonts w:cs="Verdana" w:ascii="Verdana" w:hAnsi="Verdana"/>
          <w:sz w:val="20"/>
          <w:szCs w:val="20"/>
          <w:u w:val="single"/>
        </w:rPr>
        <w:t>0,33</w:t>
      </w:r>
      <w:r>
        <w:rPr>
          <w:rFonts w:cs="Verdana" w:ascii="Verdana" w:hAnsi="Verdana"/>
          <w:sz w:val="20"/>
          <w:szCs w:val="20"/>
        </w:rPr>
        <w:t xml:space="preserve"> </w:t>
      </w:r>
      <w:r>
        <w:rPr>
          <w:rFonts w:cs="Verdana" w:ascii="Verdana" w:hAnsi="Verdana"/>
          <w:sz w:val="20"/>
          <w:szCs w:val="20"/>
          <w:vertAlign w:val="subscript"/>
        </w:rPr>
        <w:t>*</w:t>
      </w:r>
      <w:r>
        <w:rPr>
          <w:rFonts w:cs="Verdana" w:ascii="Verdana" w:hAnsi="Verdana"/>
          <w:sz w:val="20"/>
          <w:szCs w:val="20"/>
        </w:rPr>
        <w:t xml:space="preserve"> ND</w:t>
      </w:r>
    </w:p>
    <w:p>
      <w:pPr>
        <w:pStyle w:val="ListParagraph"/>
        <w:tabs>
          <w:tab w:val="clear" w:pos="708"/>
          <w:tab w:val="left" w:pos="518" w:leader="none"/>
        </w:tabs>
        <w:spacing w:before="57" w:after="57"/>
        <w:ind w:hanging="0" w:left="0" w:right="0"/>
        <w:contextualSpacing w:val="false"/>
        <w:jc w:val="center"/>
        <w:rPr/>
      </w:pPr>
      <w:r>
        <w:rPr>
          <w:rFonts w:eastAsia="Verdana" w:cs="Verdana" w:ascii="Verdana" w:hAnsi="Verdana"/>
          <w:sz w:val="20"/>
          <w:szCs w:val="20"/>
        </w:rPr>
        <w:tab/>
      </w:r>
      <w:r>
        <w:rPr>
          <w:rFonts w:cs="Verdana" w:ascii="Verdana" w:hAnsi="Verdana"/>
          <w:sz w:val="20"/>
          <w:szCs w:val="20"/>
        </w:rPr>
        <w:t>100</w:t>
      </w:r>
    </w:p>
    <w:p>
      <w:pPr>
        <w:pStyle w:val="Normal"/>
        <w:widowControl/>
        <w:suppressAutoHyphens w:val="false"/>
        <w:bidi w:val="0"/>
        <w:spacing w:lineRule="auto" w:line="276" w:before="57" w:after="57"/>
        <w:ind w:hanging="0" w:left="850" w:right="0"/>
        <w:jc w:val="left"/>
        <w:rPr/>
      </w:pPr>
      <w:r>
        <w:rPr>
          <w:rFonts w:cs="Arial" w:ascii="Verdana" w:hAnsi="Verdana"/>
          <w:color w:val="000000"/>
          <w:sz w:val="20"/>
        </w:rPr>
        <w:t xml:space="preserve">Onde: </w:t>
      </w:r>
    </w:p>
    <w:p>
      <w:pPr>
        <w:pStyle w:val="Normal"/>
        <w:widowControl/>
        <w:suppressAutoHyphens w:val="false"/>
        <w:bidi w:val="0"/>
        <w:spacing w:lineRule="auto" w:line="276" w:before="57" w:after="57"/>
        <w:ind w:hanging="0" w:left="850" w:right="0"/>
        <w:jc w:val="left"/>
        <w:rPr/>
      </w:pPr>
      <w:r>
        <w:rPr>
          <w:rFonts w:cs="Arial" w:ascii="Verdana" w:hAnsi="Verdana"/>
          <w:color w:val="000000"/>
          <w:sz w:val="20"/>
        </w:rPr>
        <w:t xml:space="preserve">VM = Valor da Multa Financeira; </w:t>
      </w:r>
    </w:p>
    <w:p>
      <w:pPr>
        <w:pStyle w:val="Normal"/>
        <w:widowControl/>
        <w:suppressAutoHyphens w:val="false"/>
        <w:bidi w:val="0"/>
        <w:spacing w:lineRule="auto" w:line="276" w:before="57" w:after="57"/>
        <w:ind w:hanging="0" w:left="850" w:right="0"/>
        <w:jc w:val="left"/>
        <w:rPr/>
      </w:pPr>
      <w:r>
        <w:rPr>
          <w:rFonts w:cs="Arial" w:ascii="Verdana" w:hAnsi="Verdana"/>
          <w:color w:val="000000"/>
          <w:sz w:val="20"/>
        </w:rPr>
        <w:t xml:space="preserve">VF = Valor da Nota Fiscal; </w:t>
      </w:r>
    </w:p>
    <w:p>
      <w:pPr>
        <w:pStyle w:val="ListParagraph"/>
        <w:widowControl/>
        <w:tabs>
          <w:tab w:val="clear" w:pos="708"/>
          <w:tab w:val="left" w:pos="518" w:leader="none"/>
        </w:tabs>
        <w:bidi w:val="0"/>
        <w:spacing w:lineRule="auto" w:line="276" w:before="57" w:after="57"/>
        <w:ind w:hanging="0" w:left="850" w:right="0"/>
        <w:contextualSpacing w:val="false"/>
        <w:jc w:val="left"/>
        <w:rPr/>
      </w:pPr>
      <w:r>
        <w:rPr>
          <w:rFonts w:eastAsia="Times New Roman" w:cs="Arial" w:ascii="Verdana" w:hAnsi="Verdana"/>
          <w:color w:val="000000"/>
          <w:sz w:val="20"/>
          <w:szCs w:val="20"/>
        </w:rPr>
        <w:t>ND = Número de dias em atraso.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eastAsia="Times New Roman" w:cs="Arial" w:ascii="Verdana" w:hAnsi="Verdana"/>
          <w:color w:val="000000"/>
          <w:sz w:val="20"/>
          <w:szCs w:val="20"/>
        </w:rPr>
        <w:t xml:space="preserve">13.12. </w:t>
      </w:r>
      <w:r>
        <w:rPr>
          <w:rFonts w:cs="Arial" w:ascii="Verdana" w:hAnsi="Verdana"/>
          <w:color w:val="000000"/>
          <w:sz w:val="20"/>
          <w:szCs w:val="20"/>
        </w:rPr>
        <w:t xml:space="preserve">A </w:t>
      </w:r>
      <w:r>
        <w:rPr>
          <w:rFonts w:ascii="Verdana" w:hAnsi="Verdana"/>
          <w:sz w:val="20"/>
          <w:lang w:eastAsia="en-US"/>
        </w:rPr>
        <w:t>NOTA FISCAL ELETRÔNICA deverá conter o mesmo CNPJ e razão social, apresentados quando na proposta, assim como, o número da contratação, o (s) objeto (s), os valores unitários e totais.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 xml:space="preserve">13.13. Qualquer alteração feita no contrato social, ato constitutivo ou estatuto deverá ser ois comunicado ao CONTRATANTE, mediante documentação própria, para apreciação da autoridade competente. 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sz w:val="20"/>
          <w:lang w:eastAsia="en-US"/>
        </w:rPr>
      </w:pPr>
      <w:r>
        <w:rPr>
          <w:rFonts w:ascii="Verdana" w:hAnsi="Verdana"/>
          <w:sz w:val="20"/>
          <w:lang w:eastAsia="en-US"/>
        </w:rPr>
        <w:t>13.14. O CONTRATANTE poderá deduzir do pagamento importâncias que a qualquer título lhe forem devidos pela empresa CONTRATADA, em decorrência de descumprimento de suas obrigações.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sz w:val="20"/>
          <w:lang w:eastAsia="en-US"/>
        </w:rPr>
        <w:t xml:space="preserve">13.15. Para a efetivação do pagamento, a CONTRATADA deverá manter as condições relativas à </w:t>
      </w:r>
      <w:r>
        <w:rPr>
          <w:rFonts w:cs="Arial" w:ascii="Verdana" w:hAnsi="Verdana"/>
          <w:sz w:val="20"/>
          <w:szCs w:val="20"/>
          <w:lang w:eastAsia="pt-BR"/>
        </w:rPr>
        <w:t>proposta de preço e a habilitação.</w:t>
      </w:r>
    </w:p>
    <w:p>
      <w:pPr>
        <w:pStyle w:val="Default"/>
        <w:tabs>
          <w:tab w:val="clear" w:pos="708"/>
          <w:tab w:val="left" w:pos="563" w:leader="none"/>
        </w:tabs>
        <w:spacing w:lineRule="auto" w:line="276" w:before="57" w:after="57"/>
        <w:ind w:hanging="0" w:left="0" w:right="0"/>
        <w:jc w:val="both"/>
        <w:rPr>
          <w:rFonts w:ascii="Verdana" w:hAnsi="Verdana" w:cs="Arial"/>
          <w:sz w:val="20"/>
          <w:szCs w:val="20"/>
          <w:lang w:eastAsia="pt-BR"/>
        </w:rPr>
      </w:pPr>
      <w:r>
        <w:rPr>
          <w:rFonts w:cs="Arial" w:ascii="Verdana" w:hAnsi="Verdana"/>
          <w:sz w:val="20"/>
          <w:szCs w:val="20"/>
          <w:lang w:eastAsia="pt-BR"/>
        </w:rPr>
      </w:r>
    </w:p>
    <w:p>
      <w:pPr>
        <w:pStyle w:val="Normal"/>
        <w:suppressAutoHyphens w:val="false"/>
        <w:spacing w:lineRule="auto" w:line="276" w:before="57" w:after="57"/>
        <w:ind w:hanging="0" w:left="0" w:right="0"/>
        <w:jc w:val="both"/>
        <w:rPr/>
      </w:pPr>
      <w:r>
        <w:rPr>
          <w:rFonts w:cs="Arial" w:ascii="Verdana" w:hAnsi="Verdana"/>
          <w:b/>
          <w:sz w:val="20"/>
        </w:rPr>
        <w:t>14. CONTRATAÇÕES CORRELATAS E/OU INTERDEPENDENTES</w:t>
      </w:r>
    </w:p>
    <w:p>
      <w:pPr>
        <w:pStyle w:val="Normal"/>
        <w:suppressAutoHyphens w:val="false"/>
        <w:spacing w:lineRule="auto" w:line="276" w:before="57" w:after="57"/>
        <w:ind w:hanging="0" w:left="0" w:right="0"/>
        <w:jc w:val="both"/>
        <w:rPr/>
      </w:pPr>
      <w:r>
        <w:rPr>
          <w:rFonts w:cs="Arial" w:ascii="Verdana" w:hAnsi="Verdana"/>
          <w:sz w:val="20"/>
        </w:rPr>
        <w:t>14.1</w:t>
      </w:r>
      <w:r>
        <w:rPr>
          <w:rFonts w:cs="Arial" w:ascii="Verdana" w:hAnsi="Verdana"/>
          <w:b/>
          <w:bCs/>
          <w:sz w:val="20"/>
        </w:rPr>
        <w:t>.</w:t>
      </w:r>
      <w:r>
        <w:rPr>
          <w:rFonts w:cs="Arial" w:ascii="Verdana" w:hAnsi="Verdana"/>
          <w:sz w:val="20"/>
        </w:rPr>
        <w:t xml:space="preserve"> </w:t>
      </w:r>
      <w:r>
        <w:rPr>
          <w:rFonts w:cs="Arial" w:ascii="Verdana" w:hAnsi="Verdana"/>
          <w:sz w:val="20"/>
          <w:lang w:eastAsia="zh-CN"/>
        </w:rPr>
        <w:t xml:space="preserve">Não se </w:t>
      </w:r>
      <w:r>
        <w:rPr>
          <w:rFonts w:cs="Arial" w:ascii="Verdana" w:hAnsi="Verdana"/>
          <w:sz w:val="20"/>
        </w:rPr>
        <w:t xml:space="preserve">verifica contratações correlatas ou interdependentes </w:t>
      </w:r>
      <w:r>
        <w:rPr>
          <w:rFonts w:cs="Arial" w:ascii="Verdana" w:hAnsi="Verdana"/>
          <w:sz w:val="20"/>
          <w:lang w:eastAsia="zh-CN"/>
        </w:rPr>
        <w:t>no período</w:t>
      </w:r>
      <w:r>
        <w:rPr>
          <w:rFonts w:cs="Arial" w:ascii="Verdana" w:hAnsi="Verdana"/>
          <w:sz w:val="20"/>
        </w:rPr>
        <w:t>.</w:t>
      </w:r>
    </w:p>
    <w:p>
      <w:pPr>
        <w:pStyle w:val="Normal"/>
        <w:suppressAutoHyphens w:val="false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</w:rPr>
      </w:pPr>
      <w:r>
        <w:rPr>
          <w:rFonts w:cs="Arial" w:ascii="Verdana" w:hAnsi="Verdana"/>
          <w:b/>
          <w:sz w:val="20"/>
        </w:rPr>
      </w:r>
    </w:p>
    <w:p>
      <w:pPr>
        <w:pStyle w:val="Normal"/>
        <w:suppressAutoHyphens w:val="false"/>
        <w:spacing w:lineRule="auto" w:line="276" w:before="57" w:after="57"/>
        <w:ind w:hanging="0" w:left="0" w:right="0"/>
        <w:jc w:val="both"/>
        <w:rPr/>
      </w:pPr>
      <w:r>
        <w:rPr>
          <w:rFonts w:cs="Arial" w:ascii="Verdana" w:hAnsi="Verdana"/>
          <w:b/>
          <w:sz w:val="20"/>
        </w:rPr>
        <w:t>15. POSSÍVEIS IMPACTOS AMBIENTAIS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sz w:val="20"/>
        </w:rPr>
        <w:t xml:space="preserve">15.1. </w:t>
      </w:r>
      <w:r>
        <w:rPr>
          <w:rFonts w:cs="Arial" w:ascii="Verdana" w:hAnsi="Verdana"/>
          <w:color w:val="000000"/>
          <w:sz w:val="20"/>
          <w:lang w:eastAsia="zh-CN"/>
        </w:rPr>
        <w:t>Não há previsão de impacto ambiental para a contratação em tela.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sz w:val="20"/>
        </w:rPr>
      </w:pPr>
      <w:r>
        <w:rPr>
          <w:rFonts w:cs="Arial" w:ascii="Verdana" w:hAnsi="Verdana"/>
          <w:sz w:val="20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cs="Arial" w:ascii="Verdana" w:hAnsi="Verdana"/>
          <w:b/>
          <w:sz w:val="20"/>
        </w:rPr>
        <w:t>16. DECLARAÇÃO E JUSTIFICATIVA DA VIABILIDADE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cs="Arial" w:ascii="Verdana" w:hAnsi="Verdana"/>
          <w:sz w:val="20"/>
        </w:rPr>
        <w:t>16.1. 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276" w:before="57" w:after="57"/>
        <w:ind w:hanging="0" w:left="0" w:right="0"/>
        <w:jc w:val="right"/>
        <w:rPr>
          <w:rFonts w:ascii="Verdana" w:hAnsi="Verdana" w:cs="Arial"/>
          <w:b/>
          <w:sz w:val="20"/>
          <w:u w:val="single"/>
        </w:rPr>
      </w:pPr>
      <w:r>
        <w:rPr>
          <w:rFonts w:cs="Arial" w:ascii="Verdana" w:hAnsi="Verdana"/>
          <w:b/>
          <w:sz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b/>
          <w:bCs/>
          <w:sz w:val="20"/>
        </w:rPr>
        <w:t xml:space="preserve">17. ADEQUAÇÃO ORÇAMENTÁRIA 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sz w:val="20"/>
        </w:rPr>
        <w:t>17.1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855" w:leader="none"/>
        </w:tabs>
        <w:spacing w:lineRule="auto" w:line="276" w:before="57" w:after="57"/>
        <w:jc w:val="both"/>
        <w:rPr/>
      </w:pPr>
      <w:r>
        <w:rPr>
          <w:rFonts w:ascii="Verdana" w:hAnsi="Verdana"/>
          <w:color w:val="000000"/>
          <w:sz w:val="20"/>
        </w:rPr>
        <w:t>FI</w:t>
      </w:r>
      <w:r>
        <w:rPr>
          <w:rFonts w:ascii="Verdana" w:hAnsi="Verdana"/>
          <w:sz w:val="20"/>
        </w:rPr>
        <w:t>CHA – FONTE 00410-1500000000 o valor de R$ 2.972,00 (dois mil novecentos e setenta e dois reais) e,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855" w:leader="none"/>
        </w:tabs>
        <w:spacing w:lineRule="auto" w:line="276" w:before="57" w:after="57"/>
        <w:jc w:val="both"/>
        <w:rPr/>
      </w:pPr>
      <w:r>
        <w:rPr>
          <w:rFonts w:ascii="Verdana" w:hAnsi="Verdana"/>
          <w:sz w:val="20"/>
        </w:rPr>
        <w:t>FICHA – FONTE 00443-1500000000 o valor de R$ 2.684,00 (dois mil seiscentos e oite</w:t>
      </w:r>
      <w:r>
        <w:rPr>
          <w:rFonts w:ascii="Verdana" w:hAnsi="Verdana"/>
          <w:color w:val="000000"/>
          <w:sz w:val="20"/>
        </w:rPr>
        <w:t>nta e quatro reais).</w:t>
      </w:r>
    </w:p>
    <w:p>
      <w:pPr>
        <w:pStyle w:val="Normal"/>
        <w:tabs>
          <w:tab w:val="clear" w:pos="708"/>
          <w:tab w:val="left" w:pos="855" w:leader="none"/>
        </w:tabs>
        <w:spacing w:lineRule="auto" w:line="240" w:before="0" w:after="0"/>
        <w:jc w:val="both"/>
        <w:rPr>
          <w:rFonts w:ascii="Verdana" w:hAnsi="Verdana"/>
          <w:color w:val="000000"/>
        </w:rPr>
      </w:pPr>
      <w:r>
        <w:rPr>
          <w:sz w:val="12"/>
          <w:szCs w:val="12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color w:val="000000"/>
          <w:sz w:val="20"/>
        </w:rPr>
        <w:t>Totalizando o menor valor de R$ 5.656,00 (cinco mil seiscentos e cinquenta e seis reais).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ascii="Verdana" w:hAnsi="Verdana"/>
          <w:b/>
          <w:bCs/>
          <w:sz w:val="20"/>
        </w:rPr>
        <w:t>18.</w:t>
      </w:r>
      <w:r>
        <w:rPr>
          <w:rFonts w:ascii="Verdana" w:hAnsi="Verdana"/>
          <w:sz w:val="20"/>
        </w:rPr>
        <w:t xml:space="preserve"> </w:t>
      </w:r>
      <w:r>
        <w:rPr>
          <w:rFonts w:cs="Arial" w:ascii="Verdana" w:hAnsi="Verdana"/>
          <w:b/>
          <w:bCs/>
          <w:color w:val="000000"/>
          <w:sz w:val="20"/>
        </w:rPr>
        <w:t>DOS RESPONSÁVEIS PELA ELABORAÇÃO DO TERMO DE REFERÊNCIA</w:t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cs="Arial" w:ascii="Verdana" w:hAnsi="Verdana"/>
          <w:color w:val="000000"/>
          <w:sz w:val="20"/>
        </w:rPr>
        <w:t>18.1. A compilação de parte das informações mencionados na elaboração deste Termo de Referência foram estruturadas através do ETP – Estudo Técnico Preliminar elaborado pela secretaria requisitante.</w:t>
      </w:r>
    </w:p>
    <w:p>
      <w:pPr>
        <w:pStyle w:val="Normal"/>
        <w:spacing w:lineRule="auto" w:line="276" w:before="57" w:after="57"/>
        <w:ind w:hanging="0" w:left="0" w:right="0"/>
        <w:jc w:val="right"/>
        <w:rPr>
          <w:rFonts w:ascii="Verdana" w:hAnsi="Verdana"/>
          <w:sz w:val="20"/>
        </w:rPr>
      </w:pPr>
      <w:r>
        <w:rPr>
          <w:rFonts w:ascii="Verdana" w:hAnsi="Verdana"/>
          <w:sz w:val="20"/>
        </w:rPr>
      </w:r>
    </w:p>
    <w:p>
      <w:pPr>
        <w:pStyle w:val="Normal"/>
        <w:spacing w:lineRule="auto" w:line="276" w:before="57" w:after="57"/>
        <w:ind w:hanging="0" w:left="0" w:right="0"/>
        <w:jc w:val="right"/>
        <w:rPr/>
      </w:pPr>
      <w:r>
        <w:rPr>
          <w:rFonts w:ascii="Verdana" w:hAnsi="Verdana"/>
          <w:sz w:val="20"/>
        </w:rPr>
        <w:t xml:space="preserve">São Gabriel da Palha, </w:t>
      </w:r>
      <w:r>
        <w:rPr>
          <w:rFonts w:ascii="Verdana" w:hAnsi="Verdana"/>
          <w:sz w:val="20"/>
        </w:rPr>
        <w:t>1</w:t>
      </w:r>
      <w:r>
        <w:rPr>
          <w:rFonts w:ascii="Verdana" w:hAnsi="Verdana"/>
          <w:sz w:val="20"/>
        </w:rPr>
        <w:t>1</w:t>
      </w:r>
      <w:r>
        <w:rPr>
          <w:rFonts w:ascii="Verdana" w:hAnsi="Verdana"/>
          <w:color w:val="000000"/>
          <w:sz w:val="20"/>
        </w:rPr>
        <w:t xml:space="preserve"> de setembro de 2024</w:t>
      </w:r>
    </w:p>
    <w:p>
      <w:pPr>
        <w:pStyle w:val="Normal"/>
        <w:spacing w:lineRule="auto" w:line="276" w:before="57" w:after="57"/>
        <w:ind w:hanging="0" w:left="0" w:right="0"/>
        <w:jc w:val="right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/>
      </w:pPr>
      <w:r>
        <w:rPr>
          <w:rFonts w:cs="Arial" w:ascii="Verdana" w:hAnsi="Verdana"/>
          <w:b/>
          <w:bCs/>
          <w:sz w:val="20"/>
        </w:rPr>
        <w:t>Elaborado por: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u w:val="single"/>
        </w:rPr>
      </w:pPr>
      <w:r>
        <w:rPr>
          <w:rFonts w:cs="Arial" w:ascii="Verdana" w:hAnsi="Verdana"/>
          <w:b/>
          <w:sz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u w:val="single"/>
        </w:rPr>
      </w:pPr>
      <w:r>
        <w:rPr>
          <w:rFonts w:cs="Arial" w:ascii="Verdana" w:hAnsi="Verdana"/>
          <w:b/>
          <w:sz w:val="20"/>
          <w:u w:val="single"/>
        </w:rPr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 w:cs="Arial"/>
          <w:b/>
          <w:sz w:val="20"/>
          <w:u w:val="single"/>
        </w:rPr>
      </w:pPr>
      <w:r>
        <w:rPr>
          <w:rFonts w:cs="Arial" w:ascii="Verdana" w:hAnsi="Verdana"/>
          <w:b/>
          <w:sz w:val="20"/>
          <w:u w:val="single"/>
        </w:rPr>
      </w:r>
    </w:p>
    <w:p>
      <w:pPr>
        <w:sectPr>
          <w:headerReference w:type="even" r:id="rId10"/>
          <w:headerReference w:type="default" r:id="rId11"/>
          <w:headerReference w:type="first" r:id="rId12"/>
          <w:footerReference w:type="even" r:id="rId13"/>
          <w:footerReference w:type="default" r:id="rId14"/>
          <w:footerReference w:type="first" r:id="rId15"/>
          <w:type w:val="nextPage"/>
          <w:pgSz w:w="11906" w:h="16838"/>
          <w:pgMar w:left="1550" w:right="905" w:gutter="0" w:header="227" w:top="851" w:footer="234" w:bottom="623"/>
          <w:pgNumType w:fmt="decimal"/>
          <w:formProt w:val="false"/>
          <w:textDirection w:val="lrTb"/>
          <w:docGrid w:type="default" w:linePitch="326" w:charSpace="0"/>
        </w:sectPr>
      </w:pPr>
    </w:p>
    <w:p>
      <w:pPr>
        <w:pStyle w:val="Normal"/>
        <w:spacing w:lineRule="auto" w:line="276" w:before="57" w:after="57"/>
        <w:ind w:hanging="0" w:left="0" w:right="0"/>
        <w:rPr/>
      </w:pPr>
      <w:r>
        <w:rPr>
          <w:rFonts w:ascii="Verdana" w:hAnsi="Verdana"/>
          <w:sz w:val="20"/>
        </w:rPr>
        <w:t>RODOLFO ANTÔNIO DA SILVA NETO</w:t>
      </w:r>
    </w:p>
    <w:p>
      <w:pPr>
        <w:pStyle w:val="Normal"/>
        <w:spacing w:lineRule="auto" w:line="276" w:before="57" w:after="57"/>
        <w:ind w:hanging="0" w:left="0" w:right="0"/>
        <w:rPr/>
      </w:pPr>
      <w:r>
        <w:rPr>
          <w:rFonts w:ascii="Verdana" w:hAnsi="Verdana"/>
          <w:sz w:val="20"/>
        </w:rPr>
        <w:t>Auxiliar Administrativo</w:t>
      </w:r>
    </w:p>
    <w:p>
      <w:pPr>
        <w:pStyle w:val="Normal"/>
        <w:suppressAutoHyphens w:val="false"/>
        <w:spacing w:lineRule="auto" w:line="276" w:before="57" w:after="57"/>
        <w:ind w:hanging="0" w:left="0" w:right="0"/>
        <w:jc w:val="both"/>
        <w:rPr/>
      </w:pPr>
      <w:hyperlink r:id="rId16">
        <w:r>
          <w:rPr>
            <w:rStyle w:val="ListLabel9"/>
            <w:rFonts w:cs="Arial" w:ascii="Verdana" w:hAnsi="Verdana"/>
            <w:sz w:val="20"/>
          </w:rPr>
          <w:t>Mat nº 000406</w:t>
        </w:r>
      </w:hyperlink>
    </w:p>
    <w:p>
      <w:pPr>
        <w:pStyle w:val="Normal"/>
        <w:suppressAutoHyphens w:val="false"/>
        <w:spacing w:lineRule="auto" w:line="276" w:before="57" w:after="57"/>
        <w:ind w:hanging="0" w:left="0" w:right="0"/>
        <w:jc w:val="both"/>
        <w:rPr>
          <w:rFonts w:ascii="Verdana" w:hAnsi="Verdana" w:cs="Arial"/>
          <w:sz w:val="20"/>
        </w:rPr>
      </w:pPr>
      <w:r>
        <w:rPr>
          <w:rFonts w:cs="Arial" w:ascii="Verdana" w:hAnsi="Verdana"/>
          <w:sz w:val="20"/>
        </w:rPr>
      </w:r>
    </w:p>
    <w:p>
      <w:pPr>
        <w:pStyle w:val="Normal"/>
        <w:spacing w:lineRule="auto" w:line="276" w:before="57" w:after="57"/>
        <w:ind w:hanging="0" w:left="0" w:right="0"/>
        <w:rPr/>
      </w:pPr>
      <w:r>
        <w:rPr>
          <w:rFonts w:cs="Arial" w:ascii="Verdana" w:hAnsi="Verdana"/>
          <w:sz w:val="20"/>
        </w:rPr>
        <w:t>RUTH BARBARA DA SILWA NASCIMENTO</w:t>
      </w:r>
    </w:p>
    <w:p>
      <w:pPr>
        <w:pStyle w:val="Normal"/>
        <w:spacing w:lineRule="auto" w:line="276" w:before="57" w:after="57"/>
        <w:ind w:hanging="0" w:left="0" w:right="0"/>
        <w:rPr/>
      </w:pPr>
      <w:r>
        <w:rPr>
          <w:rFonts w:cs="Arial" w:ascii="Verdana" w:hAnsi="Verdana"/>
          <w:sz w:val="20"/>
        </w:rPr>
        <w:t>Assistente Administrativo</w:t>
      </w:r>
    </w:p>
    <w:p>
      <w:pPr>
        <w:pStyle w:val="Normal"/>
        <w:spacing w:lineRule="auto" w:line="276" w:before="57" w:after="57"/>
        <w:ind w:hanging="0" w:left="0" w:right="0"/>
        <w:rPr/>
      </w:pPr>
      <w:r>
        <w:rPr>
          <w:rFonts w:cs="Arial" w:ascii="Verdana" w:hAnsi="Verdana"/>
          <w:color w:val="000000"/>
          <w:sz w:val="20"/>
        </w:rPr>
        <w:t xml:space="preserve"> </w:t>
      </w:r>
      <w:hyperlink r:id="rId17">
        <w:r>
          <w:rPr>
            <w:rStyle w:val="ListLabel1"/>
            <w:rFonts w:cs="Arial" w:ascii="Verdana" w:hAnsi="Verdana"/>
            <w:color w:val="000000"/>
            <w:sz w:val="20"/>
          </w:rPr>
          <w:t>Mat. nº 002983</w:t>
        </w:r>
      </w:hyperlink>
      <w:hyperlink r:id="rId18">
        <w:r>
          <w:rPr>
            <w:rStyle w:val="ListLabel10"/>
            <w:rFonts w:ascii="Verdana" w:hAnsi="Verdana"/>
            <w:sz w:val="20"/>
          </w:rPr>
          <w:t xml:space="preserve"> </w:t>
        </w:r>
      </w:hyperlink>
      <w:hyperlink r:id="rId19">
        <w:bookmarkStart w:id="0" w:name="art122%252525252525252525252525252525252"/>
        <w:bookmarkStart w:id="1" w:name="art1232"/>
        <w:bookmarkStart w:id="2" w:name="art122%252525252525252525252525252525251"/>
        <w:bookmarkStart w:id="3" w:name="art122%252525252525252525252525252525253"/>
        <w:r>
          <w:rPr>
            <w:rStyle w:val="ListLabel11"/>
            <w:rFonts w:ascii="Verdana" w:hAnsi="Verdana"/>
            <w:iCs/>
            <w:sz w:val="20"/>
          </w:rPr>
          <w:t xml:space="preserve">     </w:t>
        </w:r>
      </w:hyperlink>
      <w:bookmarkEnd w:id="0"/>
      <w:bookmarkEnd w:id="1"/>
      <w:bookmarkEnd w:id="2"/>
      <w:bookmarkEnd w:id="3"/>
    </w:p>
    <w:p>
      <w:pPr>
        <w:sectPr>
          <w:type w:val="continuous"/>
          <w:pgSz w:w="11906" w:h="16838"/>
          <w:pgMar w:left="1550" w:right="905" w:gutter="0" w:header="227" w:top="851" w:footer="234" w:bottom="623"/>
          <w:cols w:num="2" w:space="282" w:equalWidth="true" w:sep="false"/>
          <w:formProt w:val="false"/>
          <w:textDirection w:val="lrTb"/>
          <w:docGrid w:type="default" w:linePitch="326" w:charSpace="0"/>
        </w:sectPr>
      </w:pPr>
    </w:p>
    <w:p>
      <w:pPr>
        <w:pStyle w:val="Normal"/>
        <w:spacing w:lineRule="auto" w:line="276" w:before="57" w:after="57"/>
        <w:ind w:hanging="0" w:left="0" w:right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</w:r>
    </w:p>
    <w:sectPr>
      <w:type w:val="continuous"/>
      <w:pgSz w:w="11906" w:h="16838"/>
      <w:pgMar w:left="1550" w:right="905" w:gutter="0" w:header="227" w:top="851" w:footer="234" w:bottom="623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Verdana">
    <w:charset w:val="01"/>
    <w:family w:val="swiss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Ecofont_Spranq_eco_Sans">
    <w:charset w:val="00"/>
    <w:family w:val="roman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  <w:font w:name="Tahoma">
    <w:charset w:val="00"/>
    <w:family w:val="roman"/>
    <w:pitch w:val="variable"/>
  </w:font>
  <w:font w:name="Wingdings">
    <w:charset w:val="02"/>
    <w:family w:val="auto"/>
    <w:pitch w:val="default"/>
  </w:font>
  <w:font w:name="OpenSymbol">
    <w:altName w:val="Arial Unicode MS"/>
    <w:charset w:val="01"/>
    <w:family w:val="auto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 xml:space="preserve">Praça Vicente Glazar, 159 | São Gabriel da Palha-ES | CEP 29780 000  </w:t>
    </w:r>
  </w:p>
  <w:p>
    <w:pPr>
      <w:pStyle w:val="Footer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 xml:space="preserve">Praça Vicente Glazar, 159 | São Gabriel da Palha-ES | CEP 29780 000  </w:t>
    </w:r>
  </w:p>
  <w:p>
    <w:pPr>
      <w:pStyle w:val="Footer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3727-1366 | E-mail: compras@saogabriel.es.gov.br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  <w:drawing>
        <wp:anchor behindDoc="1" distT="0" distB="0" distL="114300" distR="114300" simplePos="0" locked="0" layoutInCell="0" allowOverlap="1" relativeHeight="2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  <w:br/>
    </w:r>
    <w:r>
      <w:rPr>
        <w:rFonts w:ascii="Arial Narrow" w:hAnsi="Arial Narrow"/>
        <w:b/>
        <w:sz w:val="20"/>
      </w:rPr>
      <w:t>Departamento De Compras e Contratos</w:t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  <w:drawing>
        <wp:anchor behindDoc="1" distT="0" distB="0" distL="114300" distR="114300" simplePos="0" locked="0" layoutInCell="0" allowOverlap="1" relativeHeight="2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  <w:br/>
    </w:r>
    <w:r>
      <w:rPr>
        <w:rFonts w:ascii="Arial Narrow" w:hAnsi="Arial Narrow"/>
        <w:b/>
        <w:sz w:val="20"/>
      </w:rPr>
      <w:t>Departamento De Compras e Contratos</w:t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  <w:rFonts w:ascii="Verdana" w:hAnsi="Verdan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szCs w:val="20"/>
        <w:rFonts w:ascii="Verdana" w:hAnsi="Verdan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szCs w:val="20"/>
        <w:rFonts w:ascii="Verdana" w:hAnsi="Verdan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szCs w:val="20"/>
        <w:rFonts w:ascii="Verdana" w:hAnsi="Verdana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szCs w:val="20"/>
        <w:rFonts w:ascii="Verdana" w:hAnsi="Verdana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szCs w:val="20"/>
        <w:rFonts w:ascii="Verdana" w:hAnsi="Verdana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szCs w:val="20"/>
        <w:rFonts w:ascii="Verdana" w:hAnsi="Verdana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szCs w:val="20"/>
        <w:rFonts w:ascii="Verdana" w:hAnsi="Verdana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szCs w:val="20"/>
        <w:rFonts w:ascii="Verdana" w:hAnsi="Verdana"/>
      </w:rPr>
    </w:lvl>
  </w:abstractNum>
  <w:abstractNum w:abstractNumId="2"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eastAsia="pt-BR" w:val="pt-BR" w:bidi="ar-SA"/>
    </w:rPr>
  </w:style>
  <w:style w:type="paragraph" w:styleId="Heading1">
    <w:name w:val="Heading 1"/>
    <w:basedOn w:val="Normal"/>
    <w:next w:val="Normal"/>
    <w:link w:val="Ttulo1Char"/>
    <w:uiPriority w:val="9"/>
    <w:qFormat/>
    <w:pPr>
      <w:keepNext w:val="true"/>
      <w:keepLines/>
      <w:spacing w:before="480" w:after="0"/>
      <w:outlineLvl w:val="0"/>
    </w:pPr>
    <w:rPr>
      <w:rFonts w:ascii="Cambria" w:hAnsi="Cambria" w:eastAsia="Calibri" w:cs="Tahoma"/>
      <w:b/>
      <w:bCs/>
      <w:color w:themeColor="accent1" w:themeShade="bf" w:val="117A02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Pr/>
  </w:style>
  <w:style w:type="character" w:styleId="CabealhoChar" w:customStyle="1">
    <w:name w:val="Cabeçalho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RodapChar" w:customStyle="1">
    <w:name w:val="Rodapé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A6" w:customStyle="1">
    <w:name w:val="A6"/>
    <w:qFormat/>
    <w:rPr>
      <w:color w:val="000000"/>
      <w:sz w:val="18"/>
      <w:u w:val="single"/>
    </w:rPr>
  </w:style>
  <w:style w:type="character" w:styleId="InternetLink">
    <w:name w:val="Internet Link"/>
    <w:qFormat/>
    <w:rPr>
      <w:color w:val="000080"/>
      <w:u w:val="single"/>
    </w:rPr>
  </w:style>
  <w:style w:type="character" w:styleId="CorpodetextoChar" w:customStyle="1">
    <w:name w:val="Corpo de texto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CitaoChar" w:customStyle="1">
    <w:name w:val="Citação Char"/>
    <w:basedOn w:val="DefaultParagraphFont"/>
    <w:link w:val="Quote"/>
    <w:qFormat/>
    <w:rPr>
      <w:rFonts w:ascii="Arial" w:hAnsi="Arial" w:eastAsia="Calibri" w:cs="Tahoma"/>
      <w:i/>
      <w:iCs/>
      <w:color w:val="000000"/>
      <w:sz w:val="20"/>
      <w:szCs w:val="24"/>
      <w:shd w:fill="FFFFCC" w:val="clear"/>
    </w:rPr>
  </w:style>
  <w:style w:type="character" w:styleId="Nivel1Char" w:customStyle="1">
    <w:name w:val="Nivel1 Char"/>
    <w:basedOn w:val="DefaultParagraphFont"/>
    <w:link w:val="Nivel1"/>
    <w:qFormat/>
    <w:rPr>
      <w:rFonts w:ascii="Arial" w:hAnsi="Arial" w:eastAsia="Calibri" w:cs="Arial"/>
      <w:b/>
      <w:color w:val="000000"/>
      <w:sz w:val="32"/>
      <w:szCs w:val="32"/>
    </w:rPr>
  </w:style>
  <w:style w:type="character" w:styleId="Nivel2Char" w:customStyle="1">
    <w:name w:val="Nivel 2 Char"/>
    <w:basedOn w:val="DefaultParagraphFont"/>
    <w:link w:val="Nivel2"/>
    <w:qFormat/>
    <w:rPr>
      <w:rFonts w:ascii="Arial" w:hAnsi="Arial" w:cs="Arial"/>
      <w:color w:val="000000"/>
    </w:rPr>
  </w:style>
  <w:style w:type="character" w:styleId="Strong">
    <w:name w:val="Strong"/>
    <w:qFormat/>
    <w:rPr>
      <w:b/>
      <w:bCs/>
    </w:rPr>
  </w:style>
  <w:style w:type="character" w:styleId="Ttulo1Char" w:customStyle="1">
    <w:name w:val="Título 1 Char"/>
    <w:basedOn w:val="DefaultParagraphFont"/>
    <w:qFormat/>
    <w:rPr>
      <w:rFonts w:ascii="Cambria" w:hAnsi="Cambria" w:eastAsia="Calibri" w:cs="Tahoma"/>
      <w:b/>
      <w:bCs/>
      <w:color w:themeColor="accent1" w:themeShade="bf" w:val="117A02"/>
      <w:sz w:val="28"/>
      <w:szCs w:val="28"/>
      <w:lang w:eastAsia="pt-BR"/>
    </w:rPr>
  </w:style>
  <w:style w:type="character" w:styleId="Marcadores" w:customStyle="1">
    <w:name w:val="Marcadores"/>
    <w:qFormat/>
    <w:rPr>
      <w:rFonts w:ascii="OpenSymbol" w:hAnsi="OpenSymbol" w:eastAsia="OpenSymbol" w:cs="OpenSymbol"/>
    </w:rPr>
  </w:style>
  <w:style w:type="character" w:styleId="Hyperlink">
    <w:name w:val="Hyperlink"/>
    <w:rPr>
      <w:color w:val="000080"/>
      <w:u w:val="single"/>
    </w:rPr>
  </w:style>
  <w:style w:type="character" w:styleId="Smbolosdenumerao">
    <w:name w:val="Símbolos de numeração"/>
    <w:qFormat/>
    <w:rPr>
      <w:rFonts w:ascii="Verdana" w:hAnsi="Verdana"/>
      <w:sz w:val="20"/>
      <w:szCs w:val="20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CorpodetextoChar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uiPriority w:val="10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" w:customStyle="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Header">
    <w:name w:val="Header"/>
    <w:basedOn w:val="Normal"/>
    <w:link w:val="CabealhoChar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Footer">
    <w:name w:val="Footer"/>
    <w:basedOn w:val="Normal"/>
    <w:link w:val="RodapChar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ListParagraph">
    <w:name w:val="List Paragraph"/>
    <w:basedOn w:val="Normal"/>
    <w:qFormat/>
    <w:pPr>
      <w:spacing w:lineRule="auto" w:line="276" w:before="0" w:after="200"/>
      <w:ind w:left="720"/>
      <w:contextualSpacing/>
    </w:pPr>
    <w:rPr>
      <w:rFonts w:ascii="Calibri" w:hAnsi="Calibri" w:eastAsia="Calibri" w:cs="Calibri"/>
      <w:sz w:val="22"/>
      <w:szCs w:val="22"/>
    </w:rPr>
  </w:style>
  <w:style w:type="paragraph" w:styleId="Tabelanormal1" w:customStyle="1">
    <w:name w:val="Tabela normal1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Tahoma" w:cs="Times New Roman"/>
      <w:color w:val="auto"/>
      <w:kern w:val="0"/>
      <w:sz w:val="20"/>
      <w:szCs w:val="20"/>
      <w:lang w:eastAsia="pt-BR" w:val="pt-BR" w:bidi="ar-SA"/>
    </w:rPr>
  </w:style>
  <w:style w:type="paragraph" w:styleId="Quote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false"/>
      <w:spacing w:before="120" w:after="0"/>
      <w:jc w:val="both"/>
    </w:pPr>
    <w:rPr>
      <w:rFonts w:ascii="Arial" w:hAnsi="Arial" w:eastAsia="Calibri" w:cs="Tahoma"/>
      <w:i/>
      <w:iCs/>
      <w:color w:val="000000"/>
      <w:sz w:val="20"/>
      <w:szCs w:val="24"/>
      <w:lang w:eastAsia="en-US"/>
    </w:rPr>
  </w:style>
  <w:style w:type="paragraph" w:styleId="Nivel1" w:customStyle="1">
    <w:name w:val="Nivel1"/>
    <w:basedOn w:val="Heading1"/>
    <w:next w:val="Normal"/>
    <w:link w:val="Nivel1Char"/>
    <w:qFormat/>
    <w:pPr>
      <w:suppressAutoHyphens w:val="false"/>
      <w:spacing w:lineRule="auto" w:line="276" w:before="480" w:after="120"/>
      <w:jc w:val="both"/>
      <w:outlineLvl w:val="9"/>
    </w:pPr>
    <w:rPr>
      <w:rFonts w:ascii="Arial" w:hAnsi="Arial" w:cs="Arial"/>
      <w:bCs w:val="false"/>
      <w:sz w:val="32"/>
      <w:szCs w:val="32"/>
      <w:lang w:eastAsia="en-US"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eastAsia="zh-CN" w:bidi="hi-IN" w:val="pt-BR"/>
    </w:rPr>
  </w:style>
  <w:style w:type="paragraph" w:styleId="citao2" w:customStyle="1">
    <w:name w:val="citação 2"/>
    <w:basedOn w:val="Quote"/>
    <w:qFormat/>
    <w:pPr>
      <w:suppressAutoHyphens w:val="true"/>
    </w:pPr>
    <w:rPr>
      <w:kern w:val="2"/>
      <w:szCs w:val="20"/>
      <w:lang w:eastAsia="zh-CN" w:bidi="hi-IN"/>
    </w:rPr>
  </w:style>
  <w:style w:type="paragraph" w:styleId="Nivel2" w:customStyle="1">
    <w:name w:val="Nivel 2"/>
    <w:basedOn w:val="Normal"/>
    <w:link w:val="Nivel2Char"/>
    <w:qFormat/>
    <w:pPr>
      <w:suppressAutoHyphens w:val="false"/>
      <w:spacing w:lineRule="auto" w:line="276" w:before="120" w:after="120"/>
      <w:jc w:val="both"/>
    </w:pPr>
    <w:rPr>
      <w:rFonts w:ascii="Arial" w:hAnsi="Arial" w:eastAsia="Calibri" w:cs="Arial"/>
      <w:color w:val="000000"/>
      <w:sz w:val="22"/>
      <w:szCs w:val="22"/>
      <w:lang w:eastAsia="en-US"/>
    </w:rPr>
  </w:style>
  <w:style w:type="paragraph" w:styleId="Nivel3" w:customStyle="1">
    <w:name w:val="Nivel 3"/>
    <w:basedOn w:val="ListParagraph"/>
    <w:qFormat/>
    <w:pPr>
      <w:tabs>
        <w:tab w:val="clear" w:pos="708"/>
        <w:tab w:val="left" w:pos="360" w:leader="none"/>
      </w:tabs>
      <w:suppressAutoHyphens w:val="false"/>
      <w:spacing w:before="120" w:after="120"/>
      <w:ind w:left="425"/>
      <w:contextualSpacing/>
      <w:jc w:val="both"/>
    </w:pPr>
    <w:rPr>
      <w:rFonts w:ascii="Arial" w:hAnsi="Arial" w:cs="Arial"/>
      <w:sz w:val="20"/>
    </w:rPr>
  </w:style>
  <w:style w:type="paragraph" w:styleId="TableParagraph" w:customStyle="1">
    <w:name w:val="Table Paragraph"/>
    <w:basedOn w:val="Normal"/>
    <w:qFormat/>
    <w:pPr>
      <w:widowControl w:val="false"/>
      <w:suppressAutoHyphens w:val="false"/>
    </w:pPr>
    <w:rPr>
      <w:rFonts w:ascii="Calibri" w:hAnsi="Calibri" w:eastAsia="Calibri" w:cs="Calibri"/>
      <w:sz w:val="22"/>
      <w:szCs w:val="22"/>
      <w:lang w:val="pt-PT" w:eastAsia="en-US"/>
    </w:rPr>
  </w:style>
  <w:style w:type="paragraph" w:styleId="PADRO" w:customStyle="1">
    <w:name w:val="PADRÃO"/>
    <w:qFormat/>
    <w:pPr>
      <w:keepNext w:val="true"/>
      <w:widowControl w:val="false"/>
      <w:shd w:val="clear" w:color="auto" w:fill="FFFFFF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4"/>
      <w:szCs w:val="24"/>
      <w:lang w:eastAsia="zh-CN" w:bidi="hi-IN" w:val="pt-BR"/>
    </w:rPr>
  </w:style>
  <w:style w:type="paragraph" w:styleId="Contedodatabela" w:customStyle="1">
    <w:name w:val="Conteúdo da tabela"/>
    <w:basedOn w:val="Normal"/>
    <w:qFormat/>
    <w:pPr/>
    <w:rPr/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eastAsia="zh-CN" w:val="pt-BR" w:bidi="ar-SA"/>
    </w:rPr>
  </w:style>
  <w:style w:type="paragraph" w:styleId="Ttulodetabela" w:customStyle="1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caption2" w:customStyle="1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internet.sefaz.es.gov.br/" TargetMode="External"/><Relationship Id="rId3" Type="http://schemas.openxmlformats.org/officeDocument/2006/relationships/hyperlink" Target="http://www.tst.jus.br/" TargetMode="External"/><Relationship Id="rId4" Type="http://schemas.openxmlformats.org/officeDocument/2006/relationships/hyperlink" Target="http://www.portaldatransparencia.gov.br/ceis" TargetMode="External"/><Relationship Id="rId5" Type="http://schemas.openxmlformats.org/officeDocument/2006/relationships/hyperlink" Target="http://www.cnj.jus.br/improbidade_adm/consultar_requerido.php" TargetMode="External"/><Relationship Id="rId6" Type="http://schemas.openxmlformats.org/officeDocument/2006/relationships/hyperlink" Target="https://www.tcees.tc.br/portal-da-transparencia/consultas/lista-de" TargetMode="External"/><Relationship Id="rId7" Type="http://schemas.openxmlformats.org/officeDocument/2006/relationships/hyperlink" Target="https://certidoesapf.apps.tcu.gov.br/" TargetMode="External"/><Relationship Id="rId8" Type="http://schemas.openxmlformats.org/officeDocument/2006/relationships/hyperlink" Target="http://www.portaldoempreendedor.gov.br/" TargetMode="External"/><Relationship Id="rId9" Type="http://schemas.openxmlformats.org/officeDocument/2006/relationships/hyperlink" Target="https://www.planalto.gov.br/ccivil_03/leis/lcp/lcp123.htm" TargetMode="External"/><Relationship Id="rId10" Type="http://schemas.openxmlformats.org/officeDocument/2006/relationships/header" Target="header1.xml"/><Relationship Id="rId11" Type="http://schemas.openxmlformats.org/officeDocument/2006/relationships/header" Target="header2.xml"/><Relationship Id="rId12" Type="http://schemas.openxmlformats.org/officeDocument/2006/relationships/header" Target="header3.xml"/><Relationship Id="rId13" Type="http://schemas.openxmlformats.org/officeDocument/2006/relationships/footer" Target="footer1.xml"/><Relationship Id="rId14" Type="http://schemas.openxmlformats.org/officeDocument/2006/relationships/footer" Target="footer2.xml"/><Relationship Id="rId15" Type="http://schemas.openxmlformats.org/officeDocument/2006/relationships/footer" Target="footer3.xml"/><Relationship Id="rId16" Type="http://schemas.openxmlformats.org/officeDocument/2006/relationships/hyperlink" Target="https://www.planalto.gov.br/ccivil_03/leis/lcp/lcp123.htm" TargetMode="External"/><Relationship Id="rId17" Type="http://schemas.openxmlformats.org/officeDocument/2006/relationships/hyperlink" Target="https://www.planalto.gov.br/ccivil_03/leis/lcp/lcp123.htm" TargetMode="External"/><Relationship Id="rId18" Type="http://schemas.openxmlformats.org/officeDocument/2006/relationships/hyperlink" Target="https://www.planalto.gov.br/ccivil_03/leis/lcp/lcp123.htm" TargetMode="External"/><Relationship Id="rId19" Type="http://schemas.openxmlformats.org/officeDocument/2006/relationships/hyperlink" Target="https://www.planalto.gov.br/ccivil_03/leis/lcp/lcp123.htm" TargetMode="External"/><Relationship Id="rId20" Type="http://schemas.openxmlformats.org/officeDocument/2006/relationships/numbering" Target="numbering.xml"/><Relationship Id="rId21" Type="http://schemas.openxmlformats.org/officeDocument/2006/relationships/fontTable" Target="fontTable.xml"/><Relationship Id="rId22" Type="http://schemas.openxmlformats.org/officeDocument/2006/relationships/settings" Target="settings.xml"/><Relationship Id="rId23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Application>LibreOffice/24.2.6.2$Windows_X86_64 LibreOffice_project/ef66aa7e36a1bb8e65bfbc63aba53045a14d0871</Application>
  <AppVersion>15.0000</AppVersion>
  <Pages>11</Pages>
  <Words>4283</Words>
  <Characters>24712</Characters>
  <CharactersWithSpaces>28816</CharactersWithSpaces>
  <Paragraphs>238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2024-10-07T11:24:00Z</dcterms:created>
  <dc:creator>Ruth Barbara da Silwa Nascimento</dc:creator>
  <dc:description/>
  <dc:language>pt-BR</dc:language>
  <cp:lastModifiedBy/>
  <dcterms:modified xsi:type="dcterms:W3CDTF">2024-12-17T17:57:58Z</dcterms:modified>
  <cp:revision>129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